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B15" w:rsidRDefault="00B82B2C" w:rsidP="00997D72">
      <w:pPr>
        <w:pStyle w:val="FormatvorlageTitel16Pt"/>
        <w:spacing w:before="480" w:after="120" w:line="276" w:lineRule="auto"/>
        <w:jc w:val="both"/>
        <w:rPr>
          <w:rFonts w:cs="Arial"/>
          <w:b w:val="0"/>
          <w:sz w:val="24"/>
          <w:szCs w:val="24"/>
          <w:u w:val="single"/>
        </w:rPr>
      </w:pPr>
      <w:r>
        <w:rPr>
          <w:b w:val="0"/>
          <w:sz w:val="24"/>
          <w:szCs w:val="24"/>
          <w:u w:val="single"/>
        </w:rPr>
        <w:t xml:space="preserve">Indice TIC </w:t>
      </w:r>
      <w:proofErr w:type="spellStart"/>
      <w:r>
        <w:rPr>
          <w:b w:val="0"/>
          <w:sz w:val="24"/>
          <w:szCs w:val="24"/>
          <w:u w:val="single"/>
        </w:rPr>
        <w:t>Swico</w:t>
      </w:r>
      <w:proofErr w:type="spellEnd"/>
      <w:r>
        <w:rPr>
          <w:b w:val="0"/>
          <w:sz w:val="24"/>
          <w:szCs w:val="24"/>
          <w:u w:val="single"/>
        </w:rPr>
        <w:t xml:space="preserve"> pour le 1</w:t>
      </w:r>
      <w:r>
        <w:rPr>
          <w:b w:val="0"/>
          <w:sz w:val="24"/>
          <w:szCs w:val="24"/>
          <w:u w:val="single"/>
          <w:vertAlign w:val="superscript"/>
        </w:rPr>
        <w:t xml:space="preserve">er </w:t>
      </w:r>
      <w:r>
        <w:rPr>
          <w:b w:val="0"/>
          <w:sz w:val="24"/>
          <w:szCs w:val="24"/>
          <w:u w:val="single"/>
        </w:rPr>
        <w:t>trimestre 2020:</w:t>
      </w:r>
    </w:p>
    <w:p w:rsidR="00BF6A5F" w:rsidRPr="00BF6A5F" w:rsidRDefault="00222C00" w:rsidP="00BF6A5F">
      <w:pPr>
        <w:pStyle w:val="StandardWeb"/>
      </w:pPr>
      <w:r>
        <w:rPr>
          <w:bCs/>
          <w:u w:val="single"/>
        </w:rPr>
        <w:br/>
      </w:r>
      <w:r>
        <w:rPr>
          <w:rFonts w:ascii="ArialMT" w:hAnsi="ArialMT"/>
          <w:color w:val="D13326"/>
          <w:sz w:val="26"/>
          <w:szCs w:val="26"/>
        </w:rPr>
        <w:t xml:space="preserve">Des attentes élevées pour la nouvelle année </w:t>
      </w:r>
    </w:p>
    <w:p w:rsidR="00A05731" w:rsidRPr="00A05731" w:rsidRDefault="00A05731" w:rsidP="00A05731">
      <w:pPr>
        <w:tabs>
          <w:tab w:val="clear" w:pos="851"/>
          <w:tab w:val="clear" w:pos="1985"/>
        </w:tabs>
        <w:spacing w:before="100" w:beforeAutospacing="1" w:after="100" w:afterAutospacing="1" w:line="240" w:lineRule="auto"/>
        <w:rPr>
          <w:rFonts w:ascii="TT Norms" w:hAnsi="TT Norms"/>
          <w:b/>
          <w:bCs/>
          <w:color w:val="000000" w:themeColor="text1"/>
          <w:sz w:val="22"/>
          <w:szCs w:val="22"/>
        </w:rPr>
      </w:pPr>
      <w:r>
        <w:rPr>
          <w:rFonts w:ascii="TT Norms" w:hAnsi="TT Norms"/>
          <w:b/>
          <w:bCs/>
          <w:color w:val="000000" w:themeColor="text1"/>
          <w:sz w:val="22"/>
          <w:szCs w:val="22"/>
        </w:rPr>
        <w:t xml:space="preserve">117.6 points, tel est le nouvel indice TIC </w:t>
      </w:r>
      <w:proofErr w:type="spellStart"/>
      <w:r>
        <w:rPr>
          <w:rFonts w:ascii="TT Norms" w:hAnsi="TT Norms"/>
          <w:b/>
          <w:bCs/>
          <w:color w:val="000000" w:themeColor="text1"/>
          <w:sz w:val="22"/>
          <w:szCs w:val="22"/>
        </w:rPr>
        <w:t>Swico</w:t>
      </w:r>
      <w:proofErr w:type="spellEnd"/>
      <w:r>
        <w:rPr>
          <w:rFonts w:ascii="TT Norms" w:hAnsi="TT Norms"/>
          <w:b/>
          <w:bCs/>
          <w:color w:val="000000" w:themeColor="text1"/>
          <w:sz w:val="22"/>
          <w:szCs w:val="22"/>
        </w:rPr>
        <w:t xml:space="preserve">: il s’agit de la quatrième valeur la plus élevée depuis le début des mesures, ce qui reflète l’optimisme des quatre segments de l’industrie des TIC. Les prévisions concernant la situation des commandes, la marge brute et le chiffre d’affaires sont très positives. Pour les secteurs EGP et IFI, les perspectives ne sont pas aussi optimistes: bien que leurs valeurs prévisionnelles augmentent légèrement, elles restent bien en dessous du seuil magique. Le manque de spécialistes s’avère être un enjeu permanent. La pression sur les marges due à la force du franc continue de peser sur les secteurs EGP et IFI ainsi que sur le segment Technologie informatique. </w:t>
      </w:r>
    </w:p>
    <w:p w:rsidR="00BF6A5F" w:rsidRPr="00A05731" w:rsidRDefault="00BF6A5F" w:rsidP="00BF6A5F">
      <w:pPr>
        <w:pStyle w:val="StandardWeb"/>
        <w:rPr>
          <w:rFonts w:ascii="TT Norms" w:hAnsi="TT Norms"/>
          <w:color w:val="000000" w:themeColor="text1"/>
          <w:sz w:val="22"/>
          <w:szCs w:val="22"/>
        </w:rPr>
      </w:pPr>
      <w:r>
        <w:rPr>
          <w:rFonts w:ascii="TT Norms" w:hAnsi="TT Norms"/>
          <w:color w:val="000000" w:themeColor="text1"/>
          <w:sz w:val="22"/>
          <w:szCs w:val="22"/>
        </w:rPr>
        <w:t xml:space="preserve">L’industrie des TIC est très optimiste pour le premier trimestre: ce climat positif se traduit par des valeurs prévisionnelles élevées dans les différents segments du secteur des TIC. Avec 122.5 points (en hausse de 4.5), la deuxième valeur la plus élevée depuis le début des mesures, le segment Logiciels figure en tête. Le segment Consulting se classe au deuxième rang avec une valeur de 118.3 points (plus 0.7), suivi par les Services informatiques avec 115.6 points (moins 1.9) et la Technologie informatique avec 112.8 points (plus 1.8). Par conséquent, tous les segments du secteur des TIC s’attendent à une croissance plus rentable. Ils prévoient une nette croissance au niveau des commandes: les chiffres prévisionnels pour le pipeline de vente, les entrées de commandes et le carnet de commandes sont élevés. Le secteur s’attend à une marge brute en hausse et à une augmentation du chiffre d’affaires. La croissance se reflète également dans les effectifs prévus. L’ensemble du secteur des TIC table sur une forte augmentation du nombre d’employés; le nombre d’apprentis et de stagiaires devrait augmenter légèrement. Les prévisions en matière de développement économique sont également positives: le secteur des TIC s’attend à une reprise conjoncturelle et à des investissements plus importants. </w:t>
      </w:r>
    </w:p>
    <w:p w:rsidR="00BF6A5F" w:rsidRPr="00A05731" w:rsidRDefault="00BF6A5F" w:rsidP="00BF6A5F">
      <w:pPr>
        <w:pStyle w:val="StandardWeb"/>
        <w:rPr>
          <w:rFonts w:ascii="TT Norms" w:hAnsi="TT Norms"/>
          <w:color w:val="000000" w:themeColor="text1"/>
        </w:rPr>
      </w:pPr>
    </w:p>
    <w:p w:rsidR="00BF6A5F" w:rsidRPr="00A05731" w:rsidRDefault="00BF6A5F" w:rsidP="00BF6A5F">
      <w:pPr>
        <w:pStyle w:val="StandardWeb"/>
        <w:rPr>
          <w:rFonts w:ascii="TT Norms" w:hAnsi="TT Norms"/>
          <w:b/>
          <w:bCs/>
          <w:color w:val="000000" w:themeColor="text1"/>
          <w:sz w:val="22"/>
          <w:szCs w:val="22"/>
        </w:rPr>
      </w:pPr>
      <w:r>
        <w:rPr>
          <w:rFonts w:ascii="TT Norms" w:hAnsi="TT Norms"/>
          <w:b/>
          <w:bCs/>
          <w:color w:val="000000" w:themeColor="text1"/>
          <w:sz w:val="22"/>
          <w:szCs w:val="22"/>
        </w:rPr>
        <w:t xml:space="preserve">Les nouvelles technologies et la pénurie de spécialistes TIC constituent des défis </w:t>
      </w:r>
    </w:p>
    <w:p w:rsidR="00BF6A5F" w:rsidRPr="00A05731" w:rsidRDefault="00BF6A5F" w:rsidP="00BF6A5F">
      <w:pPr>
        <w:pStyle w:val="StandardWeb"/>
        <w:rPr>
          <w:rFonts w:ascii="TT Norms" w:hAnsi="TT Norms"/>
          <w:color w:val="000000" w:themeColor="text1"/>
          <w:sz w:val="22"/>
          <w:szCs w:val="22"/>
        </w:rPr>
      </w:pPr>
      <w:r>
        <w:rPr>
          <w:rFonts w:ascii="TT Norms" w:hAnsi="TT Norms"/>
          <w:color w:val="000000" w:themeColor="text1"/>
          <w:sz w:val="22"/>
          <w:szCs w:val="22"/>
        </w:rPr>
        <w:t xml:space="preserve">La pénurie de spécialistes TIC reste un phénomène permanent au sens négatif du terme: tous les segments du secteur des TIC affirment avoir du mal à recruter des spécialistes TIC. Par ailleurs, les segments Technologie informatique, Logiciels et Services informatiques doivent intégrer de nouvelles technologies et innovations dans leurs modèles économiques existants ou développer de nouveaux secteurs d’activité afin de rester compétitifs. Cela leur permet de générer de nouvelles sources de revenus et de se démarquer sur le marché. Les segments Logiciels, Services informatiques et Consulting sont touchés par les évolutions du marché, les incertitudes et les réglementations gouvernementales qui entravent la croissance et augmentent la pression concurrentielle. </w:t>
      </w:r>
    </w:p>
    <w:p w:rsidR="00BF6A5F" w:rsidRPr="00A05731" w:rsidRDefault="00BF6A5F" w:rsidP="00BF6A5F">
      <w:pPr>
        <w:pStyle w:val="StandardWeb"/>
        <w:rPr>
          <w:rFonts w:ascii="TT Norms" w:hAnsi="TT Norms"/>
          <w:color w:val="000000" w:themeColor="text1"/>
          <w:sz w:val="22"/>
          <w:szCs w:val="22"/>
        </w:rPr>
      </w:pPr>
    </w:p>
    <w:p w:rsidR="00BF6A5F" w:rsidRPr="00A05731" w:rsidRDefault="00BF6A5F" w:rsidP="00BF6A5F">
      <w:pPr>
        <w:pStyle w:val="StandardWeb"/>
        <w:rPr>
          <w:rFonts w:ascii="TT Norms" w:hAnsi="TT Norms"/>
          <w:b/>
          <w:bCs/>
          <w:color w:val="000000" w:themeColor="text1"/>
          <w:sz w:val="22"/>
          <w:szCs w:val="22"/>
        </w:rPr>
      </w:pPr>
      <w:r>
        <w:rPr>
          <w:rFonts w:ascii="TT Norms" w:hAnsi="TT Norms"/>
          <w:b/>
          <w:bCs/>
          <w:color w:val="000000" w:themeColor="text1"/>
          <w:sz w:val="22"/>
          <w:szCs w:val="22"/>
        </w:rPr>
        <w:t xml:space="preserve">Légère hausse pour les secteurs EGP et IFI </w:t>
      </w:r>
    </w:p>
    <w:p w:rsidR="00BF6A5F" w:rsidRPr="00A05731" w:rsidRDefault="00BF6A5F" w:rsidP="00BF6A5F">
      <w:pPr>
        <w:pStyle w:val="StandardWeb"/>
        <w:rPr>
          <w:rFonts w:ascii="TT Norms" w:hAnsi="TT Norms"/>
          <w:color w:val="000000" w:themeColor="text1"/>
          <w:sz w:val="22"/>
          <w:szCs w:val="22"/>
        </w:rPr>
      </w:pPr>
      <w:r>
        <w:rPr>
          <w:rFonts w:ascii="TT Norms" w:hAnsi="TT Norms"/>
          <w:color w:val="000000" w:themeColor="text1"/>
          <w:sz w:val="22"/>
          <w:szCs w:val="22"/>
        </w:rPr>
        <w:t xml:space="preserve">Les attentes des secteurs Électronique grand public et Imagerie/Finitions/Impression ont chacune augmenté de 0.9 point. La nouvelle valeur pour le secteur EGP est de 90.7 points, celle pour le secteur IFI de 91.2 points. Malgré des évaluations plus positives par rapport au dernier trimestre, le moral reste négatif et l’attente d’une dégénérescence persiste. Ce climat morose s’explique par les prévisions d’entrées de commandes plus maigres, la baisse des </w:t>
      </w:r>
      <w:r>
        <w:rPr>
          <w:rFonts w:ascii="TT Norms" w:hAnsi="TT Norms"/>
          <w:color w:val="000000" w:themeColor="text1"/>
          <w:sz w:val="22"/>
          <w:szCs w:val="22"/>
        </w:rPr>
        <w:lastRenderedPageBreak/>
        <w:t xml:space="preserve">marges brutes et la diminution des chiffres d’affaires. Les deux secteurs s’attendent également à une récession. La force du franc et les taux de change demeurent problématiques, car ils contribuent à l’érosion des prix et à la pression sur les marges. </w:t>
      </w:r>
    </w:p>
    <w:p w:rsidR="00BF6A5F" w:rsidRPr="00A05731" w:rsidRDefault="00BF6A5F" w:rsidP="00BF6A5F">
      <w:pPr>
        <w:pStyle w:val="StandardWeb"/>
        <w:rPr>
          <w:rFonts w:ascii="TT Norms" w:hAnsi="TT Norms"/>
          <w:color w:val="000000" w:themeColor="text1"/>
          <w:sz w:val="22"/>
          <w:szCs w:val="22"/>
        </w:rPr>
      </w:pPr>
    </w:p>
    <w:p w:rsidR="00C600CC" w:rsidRPr="00A05731" w:rsidRDefault="00C600CC" w:rsidP="00BF6A5F">
      <w:pPr>
        <w:pStyle w:val="LauftextImpressumrot"/>
        <w:spacing w:after="120" w:line="276" w:lineRule="auto"/>
        <w:rPr>
          <w:rFonts w:ascii="TT Norms" w:hAnsi="TT Norms" w:cs="Arial"/>
          <w:color w:val="auto"/>
          <w:sz w:val="22"/>
          <w:szCs w:val="22"/>
        </w:rPr>
      </w:pPr>
      <w:r>
        <w:rPr>
          <w:rFonts w:ascii="TT Norms" w:hAnsi="TT Norms"/>
          <w:color w:val="auto"/>
          <w:sz w:val="22"/>
          <w:szCs w:val="22"/>
          <w:u w:val="single"/>
        </w:rPr>
        <w:t>Étude complète (en allemand)</w:t>
      </w:r>
      <w:r>
        <w:rPr>
          <w:rFonts w:ascii="TT Norms" w:hAnsi="TT Norms"/>
          <w:color w:val="auto"/>
          <w:sz w:val="22"/>
          <w:szCs w:val="22"/>
        </w:rPr>
        <w:t xml:space="preserve">: PDF, 35 pages, prix CHF 297.– hors TVA, en vente chez </w:t>
      </w:r>
      <w:proofErr w:type="spellStart"/>
      <w:r>
        <w:rPr>
          <w:rFonts w:ascii="TT Norms" w:hAnsi="TT Norms"/>
          <w:color w:val="auto"/>
          <w:sz w:val="22"/>
          <w:szCs w:val="22"/>
        </w:rPr>
        <w:t>Swico</w:t>
      </w:r>
      <w:proofErr w:type="spellEnd"/>
      <w:r>
        <w:rPr>
          <w:rFonts w:ascii="TT Norms" w:hAnsi="TT Norms"/>
          <w:color w:val="auto"/>
          <w:sz w:val="22"/>
          <w:szCs w:val="22"/>
        </w:rPr>
        <w:t xml:space="preserve"> (</w:t>
      </w:r>
      <w:hyperlink r:id="rId8" w:history="1">
        <w:r>
          <w:rPr>
            <w:rStyle w:val="Hyperlink"/>
            <w:rFonts w:ascii="TT Norms" w:hAnsi="TT Norms"/>
            <w:sz w:val="22"/>
            <w:szCs w:val="22"/>
          </w:rPr>
          <w:t>stephan.vollmer@swico.ch</w:t>
        </w:r>
      </w:hyperlink>
      <w:r>
        <w:rPr>
          <w:rFonts w:ascii="TT Norms" w:hAnsi="TT Norms"/>
          <w:color w:val="auto"/>
          <w:sz w:val="22"/>
          <w:szCs w:val="22"/>
        </w:rPr>
        <w:t>). L’étude est gratuite pour les entreprises participantes.</w:t>
      </w:r>
    </w:p>
    <w:p w:rsidR="003A727B" w:rsidRPr="000335E8" w:rsidRDefault="428B7E12" w:rsidP="428B7E12">
      <w:pPr>
        <w:pStyle w:val="LauftextImpressumrot"/>
        <w:spacing w:after="120" w:line="240" w:lineRule="auto"/>
        <w:ind w:right="-142"/>
        <w:rPr>
          <w:rFonts w:ascii="TT Norms" w:eastAsia="Arial" w:hAnsi="TT Norms" w:cs="Arial"/>
          <w:b/>
          <w:bCs/>
          <w:color w:val="auto"/>
          <w:sz w:val="18"/>
          <w:szCs w:val="18"/>
        </w:rPr>
      </w:pPr>
      <w:r w:rsidRPr="000335E8">
        <w:rPr>
          <w:rFonts w:ascii="TT Norms" w:hAnsi="TT Norms"/>
          <w:color w:val="auto"/>
          <w:sz w:val="18"/>
          <w:szCs w:val="18"/>
          <w:u w:val="single"/>
        </w:rPr>
        <w:t xml:space="preserve">Remarque </w:t>
      </w:r>
      <w:proofErr w:type="gramStart"/>
      <w:r w:rsidRPr="000335E8">
        <w:rPr>
          <w:rFonts w:ascii="TT Norms" w:hAnsi="TT Norms"/>
          <w:color w:val="auto"/>
          <w:sz w:val="18"/>
          <w:szCs w:val="18"/>
          <w:u w:val="single"/>
        </w:rPr>
        <w:t>méthodo</w:t>
      </w:r>
      <w:bookmarkStart w:id="0" w:name="_GoBack"/>
      <w:bookmarkEnd w:id="0"/>
      <w:r w:rsidRPr="000335E8">
        <w:rPr>
          <w:rFonts w:ascii="TT Norms" w:hAnsi="TT Norms"/>
          <w:color w:val="auto"/>
          <w:sz w:val="18"/>
          <w:szCs w:val="18"/>
          <w:u w:val="single"/>
        </w:rPr>
        <w:t>logique:</w:t>
      </w:r>
      <w:proofErr w:type="gramEnd"/>
      <w:r w:rsidRPr="000335E8">
        <w:rPr>
          <w:rFonts w:ascii="TT Norms" w:hAnsi="TT Norms"/>
          <w:color w:val="auto"/>
          <w:sz w:val="18"/>
          <w:szCs w:val="18"/>
        </w:rPr>
        <w:t xml:space="preserve"> l’indice TIC </w:t>
      </w:r>
      <w:proofErr w:type="spellStart"/>
      <w:r w:rsidRPr="000335E8">
        <w:rPr>
          <w:rFonts w:ascii="TT Norms" w:hAnsi="TT Norms"/>
          <w:color w:val="auto"/>
          <w:sz w:val="18"/>
          <w:szCs w:val="18"/>
        </w:rPr>
        <w:t>Swico</w:t>
      </w:r>
      <w:proofErr w:type="spellEnd"/>
      <w:r w:rsidRPr="000335E8">
        <w:rPr>
          <w:rFonts w:ascii="TT Norms" w:hAnsi="TT Norms"/>
          <w:color w:val="auto"/>
          <w:sz w:val="18"/>
          <w:szCs w:val="18"/>
        </w:rPr>
        <w:t xml:space="preserve"> se fonde sur des prévisions et non sur les résultats du passé. Il ne reflète donc pas directement les chiffres d’affaires ou les chiffres de vente mais les attentes pour le trimestre à venir. Pour compenser les variations saisonnières, l’indice compare les prévisions pour le trimestre suivant au résultat du trimestre correspondant de l’année précédente.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3671"/>
      </w:tblGrid>
      <w:tr w:rsidR="003A727B" w:rsidRPr="00A05731" w:rsidTr="428B7E12">
        <w:tc>
          <w:tcPr>
            <w:tcW w:w="5414" w:type="dxa"/>
          </w:tcPr>
          <w:p w:rsidR="003A727B" w:rsidRPr="00A05731" w:rsidRDefault="00E6142F" w:rsidP="428B7E12">
            <w:pPr>
              <w:pStyle w:val="LauftextImpressumrot"/>
              <w:spacing w:after="120" w:line="240" w:lineRule="auto"/>
              <w:ind w:right="-142"/>
              <w:rPr>
                <w:rFonts w:ascii="TT Norms" w:eastAsia="Arial" w:hAnsi="TT Norms" w:cs="Arial"/>
                <w:b/>
                <w:bCs/>
                <w:color w:val="auto"/>
                <w:sz w:val="22"/>
                <w:szCs w:val="22"/>
              </w:rPr>
            </w:pPr>
            <w:r>
              <w:rPr>
                <w:rFonts w:ascii="TT Norms" w:hAnsi="TT Norms"/>
                <w:b/>
                <w:bCs/>
                <w:noProof/>
                <w:color w:val="auto"/>
                <w:sz w:val="22"/>
                <w:szCs w:val="22"/>
              </w:rPr>
              <w:drawing>
                <wp:anchor distT="0" distB="0" distL="114300" distR="114300" simplePos="0" relativeHeight="251662336" behindDoc="0" locked="0" layoutInCell="1" allowOverlap="1" wp14:anchorId="3407CF50" wp14:editId="5FD11FD7">
                  <wp:simplePos x="0" y="0"/>
                  <wp:positionH relativeFrom="column">
                    <wp:posOffset>-62230</wp:posOffset>
                  </wp:positionH>
                  <wp:positionV relativeFrom="paragraph">
                    <wp:posOffset>50800</wp:posOffset>
                  </wp:positionV>
                  <wp:extent cx="3164205" cy="2115820"/>
                  <wp:effectExtent l="0" t="0" r="0" b="5080"/>
                  <wp:wrapThrough wrapText="bothSides">
                    <wp:wrapPolygon edited="0">
                      <wp:start x="0" y="0"/>
                      <wp:lineTo x="0" y="21522"/>
                      <wp:lineTo x="21500" y="21522"/>
                      <wp:lineTo x="215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Swico-Index_alle-Diag-Haup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205" cy="2115820"/>
                          </a:xfrm>
                          <a:prstGeom prst="rect">
                            <a:avLst/>
                          </a:prstGeom>
                        </pic:spPr>
                      </pic:pic>
                    </a:graphicData>
                  </a:graphic>
                  <wp14:sizeRelH relativeFrom="margin">
                    <wp14:pctWidth>0</wp14:pctWidth>
                  </wp14:sizeRelH>
                  <wp14:sizeRelV relativeFrom="margin">
                    <wp14:pctHeight>0</wp14:pctHeight>
                  </wp14:sizeRelV>
                </wp:anchor>
              </w:drawing>
            </w:r>
          </w:p>
        </w:tc>
        <w:tc>
          <w:tcPr>
            <w:tcW w:w="3872" w:type="dxa"/>
          </w:tcPr>
          <w:p w:rsidR="00222C00" w:rsidRPr="00A01779" w:rsidRDefault="00222C00">
            <w:pPr>
              <w:pStyle w:val="LauftextImpressumrot"/>
              <w:spacing w:after="120" w:line="240" w:lineRule="auto"/>
              <w:ind w:right="-112"/>
              <w:rPr>
                <w:rFonts w:ascii="TT Norms" w:hAnsi="TT Norms" w:cs="Arial"/>
                <w:b/>
                <w:color w:val="auto"/>
                <w:sz w:val="18"/>
                <w:szCs w:val="18"/>
                <w:lang w:val="fr-FR"/>
              </w:rPr>
            </w:pPr>
          </w:p>
          <w:p w:rsidR="003A727B" w:rsidRPr="00A05731" w:rsidRDefault="003A727B">
            <w:pPr>
              <w:pStyle w:val="LauftextImpressumrot"/>
              <w:spacing w:after="120" w:line="240" w:lineRule="auto"/>
              <w:ind w:right="-112"/>
              <w:rPr>
                <w:rFonts w:ascii="TT Norms" w:hAnsi="TT Norms" w:cs="Arial"/>
                <w:color w:val="auto"/>
                <w:sz w:val="18"/>
                <w:szCs w:val="18"/>
              </w:rPr>
            </w:pPr>
            <w:r>
              <w:rPr>
                <w:rFonts w:ascii="TT Norms" w:hAnsi="TT Norms"/>
                <w:b/>
                <w:color w:val="auto"/>
                <w:sz w:val="18"/>
                <w:szCs w:val="18"/>
              </w:rPr>
              <w:t>Légende:</w:t>
            </w:r>
            <w:r>
              <w:rPr>
                <w:rFonts w:ascii="TT Norms" w:hAnsi="TT Norms"/>
                <w:color w:val="auto"/>
                <w:sz w:val="18"/>
                <w:szCs w:val="18"/>
              </w:rPr>
              <w:t xml:space="preserve"> </w:t>
            </w:r>
            <w:r>
              <w:rPr>
                <w:rFonts w:ascii="TT Norms" w:hAnsi="TT Norms"/>
                <w:color w:val="auto"/>
                <w:sz w:val="18"/>
                <w:szCs w:val="18"/>
              </w:rPr>
              <w:br/>
              <w:t xml:space="preserve">les indicateurs «Modification attendue du chiffre d’affaires», «Modification attendue du carnet de commandes» et «Modification attendue de la rentabilité» servent de base à l’indicateur de tendance: l’indice TIC </w:t>
            </w:r>
            <w:proofErr w:type="spellStart"/>
            <w:r>
              <w:rPr>
                <w:rFonts w:ascii="TT Norms" w:hAnsi="TT Norms"/>
                <w:color w:val="auto"/>
                <w:sz w:val="18"/>
                <w:szCs w:val="18"/>
              </w:rPr>
              <w:t>Swico</w:t>
            </w:r>
            <w:proofErr w:type="spellEnd"/>
            <w:r>
              <w:rPr>
                <w:rFonts w:ascii="TT Norms" w:hAnsi="TT Norms"/>
                <w:color w:val="auto"/>
                <w:sz w:val="18"/>
                <w:szCs w:val="18"/>
              </w:rPr>
              <w:t>. Tous les indices sont comparés avec ceux de la même période de l’année précédente. L’indice global tient compte des segments Technologie informatique, Services informatiques, Logiciels et Consulting.</w:t>
            </w:r>
          </w:p>
          <w:p w:rsidR="003A727B" w:rsidRPr="00A01779" w:rsidRDefault="003A727B" w:rsidP="00997D72">
            <w:pPr>
              <w:pStyle w:val="LauftextImpressumrot"/>
              <w:spacing w:after="120" w:line="240" w:lineRule="auto"/>
              <w:ind w:right="-142"/>
              <w:rPr>
                <w:rFonts w:ascii="TT Norms" w:hAnsi="TT Norms" w:cs="Arial"/>
                <w:b/>
                <w:color w:val="auto"/>
                <w:sz w:val="18"/>
                <w:szCs w:val="18"/>
                <w:lang w:val="fr-FR"/>
              </w:rPr>
            </w:pPr>
          </w:p>
        </w:tc>
      </w:tr>
      <w:tr w:rsidR="003A727B" w:rsidRPr="00A05731" w:rsidTr="428B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3"/>
        </w:trPr>
        <w:tc>
          <w:tcPr>
            <w:tcW w:w="5414" w:type="dxa"/>
            <w:tcBorders>
              <w:top w:val="nil"/>
              <w:left w:val="nil"/>
              <w:bottom w:val="nil"/>
              <w:right w:val="nil"/>
            </w:tcBorders>
          </w:tcPr>
          <w:p w:rsidR="003A727B" w:rsidRPr="00A05731" w:rsidRDefault="002B2D19" w:rsidP="00997D72">
            <w:pPr>
              <w:pStyle w:val="LauftextImpressumrot"/>
              <w:spacing w:after="120" w:line="240" w:lineRule="auto"/>
              <w:ind w:right="-142"/>
              <w:rPr>
                <w:rFonts w:ascii="TT Norms" w:hAnsi="TT Norms" w:cs="Arial"/>
                <w:b/>
                <w:color w:val="auto"/>
                <w:sz w:val="22"/>
                <w:szCs w:val="22"/>
              </w:rPr>
            </w:pPr>
            <w:r>
              <w:rPr>
                <w:rFonts w:ascii="TT Norms" w:hAnsi="TT Norms"/>
                <w:noProof/>
                <w:sz w:val="22"/>
                <w:szCs w:val="22"/>
              </w:rPr>
              <w:drawing>
                <wp:anchor distT="0" distB="0" distL="114300" distR="114300" simplePos="0" relativeHeight="251663360" behindDoc="0" locked="0" layoutInCell="1" allowOverlap="1" wp14:anchorId="21D98FF3" wp14:editId="3C7554A2">
                  <wp:simplePos x="0" y="0"/>
                  <wp:positionH relativeFrom="column">
                    <wp:posOffset>-24765</wp:posOffset>
                  </wp:positionH>
                  <wp:positionV relativeFrom="paragraph">
                    <wp:posOffset>65405</wp:posOffset>
                  </wp:positionV>
                  <wp:extent cx="3156585" cy="3231515"/>
                  <wp:effectExtent l="0" t="0" r="5715" b="0"/>
                  <wp:wrapThrough wrapText="bothSides">
                    <wp:wrapPolygon edited="0">
                      <wp:start x="0" y="0"/>
                      <wp:lineTo x="0" y="21477"/>
                      <wp:lineTo x="21552" y="21477"/>
                      <wp:lineTo x="2155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wico-Index_alle-Diag-Over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6585" cy="3231515"/>
                          </a:xfrm>
                          <a:prstGeom prst="rect">
                            <a:avLst/>
                          </a:prstGeom>
                        </pic:spPr>
                      </pic:pic>
                    </a:graphicData>
                  </a:graphic>
                  <wp14:sizeRelH relativeFrom="margin">
                    <wp14:pctWidth>0</wp14:pctWidth>
                  </wp14:sizeRelH>
                  <wp14:sizeRelV relativeFrom="margin">
                    <wp14:pctHeight>0</wp14:pctHeight>
                  </wp14:sizeRelV>
                </wp:anchor>
              </w:drawing>
            </w:r>
          </w:p>
        </w:tc>
        <w:tc>
          <w:tcPr>
            <w:tcW w:w="3872" w:type="dxa"/>
            <w:tcBorders>
              <w:top w:val="nil"/>
              <w:left w:val="nil"/>
              <w:bottom w:val="nil"/>
              <w:right w:val="nil"/>
            </w:tcBorders>
          </w:tcPr>
          <w:p w:rsidR="00222C00" w:rsidRPr="00A01779" w:rsidRDefault="00222C00" w:rsidP="00FE6FF1">
            <w:pPr>
              <w:pStyle w:val="LauftextGrafikweiss"/>
              <w:spacing w:line="240" w:lineRule="auto"/>
              <w:rPr>
                <w:rFonts w:ascii="TT Norms" w:hAnsi="TT Norms" w:cs="Arial"/>
                <w:b/>
                <w:color w:val="auto"/>
                <w:sz w:val="22"/>
                <w:szCs w:val="22"/>
                <w:lang w:val="fr-FR"/>
              </w:rPr>
            </w:pPr>
          </w:p>
          <w:p w:rsidR="00FE6FF1" w:rsidRPr="00A05731" w:rsidRDefault="003A727B" w:rsidP="00FE6FF1">
            <w:pPr>
              <w:pStyle w:val="LauftextGrafikweiss"/>
              <w:spacing w:line="240" w:lineRule="auto"/>
              <w:rPr>
                <w:rFonts w:ascii="TT Norms" w:hAnsi="TT Norms" w:cs="Arial"/>
                <w:color w:val="auto"/>
                <w:sz w:val="18"/>
                <w:szCs w:val="18"/>
              </w:rPr>
            </w:pPr>
            <w:r>
              <w:rPr>
                <w:rFonts w:ascii="TT Norms" w:hAnsi="TT Norms"/>
                <w:b/>
                <w:color w:val="auto"/>
                <w:sz w:val="18"/>
                <w:szCs w:val="18"/>
              </w:rPr>
              <w:t xml:space="preserve">Légende: </w:t>
            </w:r>
            <w:r>
              <w:rPr>
                <w:rFonts w:ascii="TT Norms" w:hAnsi="TT Norms"/>
                <w:b/>
                <w:color w:val="auto"/>
                <w:sz w:val="18"/>
                <w:szCs w:val="18"/>
              </w:rPr>
              <w:br/>
            </w:r>
            <w:r>
              <w:rPr>
                <w:rFonts w:ascii="TT Norms" w:hAnsi="TT Norms"/>
                <w:color w:val="auto"/>
                <w:sz w:val="18"/>
                <w:szCs w:val="18"/>
              </w:rPr>
              <w:t xml:space="preserve">la matrice de croissance se fonde sur les mêmes indicateurs que l’indicateur de tendance qu’est l’indice TIC </w:t>
            </w:r>
            <w:proofErr w:type="spellStart"/>
            <w:r>
              <w:rPr>
                <w:rFonts w:ascii="TT Norms" w:hAnsi="TT Norms"/>
                <w:color w:val="auto"/>
                <w:sz w:val="18"/>
                <w:szCs w:val="18"/>
              </w:rPr>
              <w:t>Swico</w:t>
            </w:r>
            <w:proofErr w:type="spellEnd"/>
            <w:r>
              <w:rPr>
                <w:rFonts w:ascii="TT Norms" w:hAnsi="TT Norms"/>
                <w:color w:val="auto"/>
                <w:sz w:val="18"/>
                <w:szCs w:val="18"/>
              </w:rPr>
              <w:t>. La situation actuelle est représentée à l’aide des valeurs «Modification attendue du chiffre d’affaires» (axe X) et «Modification attendue de la rentabilité» (axe Y). La taille et le remplissage des cercles indiquent les évolutions escomptées des carnets de commandes: plus un cercle est grand, plus l’évolution est importante. Si elle est positive, la surface du cercle est remplie; si elle est négative, seul le contour du cercle prend la couleur du segment.</w:t>
            </w:r>
          </w:p>
          <w:p w:rsidR="003A727B" w:rsidRPr="00A01779" w:rsidRDefault="003A727B" w:rsidP="00725D21">
            <w:pPr>
              <w:pStyle w:val="LauftextImpressumrot"/>
              <w:spacing w:after="120" w:line="240" w:lineRule="auto"/>
              <w:ind w:right="-112"/>
              <w:rPr>
                <w:rFonts w:ascii="TT Norms" w:hAnsi="TT Norms" w:cs="Arial"/>
                <w:b/>
                <w:color w:val="auto"/>
                <w:sz w:val="22"/>
                <w:szCs w:val="22"/>
                <w:lang w:val="fr-FR"/>
              </w:rPr>
            </w:pPr>
          </w:p>
        </w:tc>
      </w:tr>
    </w:tbl>
    <w:p w:rsidR="003711A1" w:rsidRPr="00A01779" w:rsidRDefault="003711A1" w:rsidP="00997D72">
      <w:pPr>
        <w:pStyle w:val="LauftextImpressumrot"/>
        <w:spacing w:after="120" w:line="276" w:lineRule="auto"/>
        <w:rPr>
          <w:rFonts w:ascii="TT Norms" w:hAnsi="TT Norms" w:cs="Arial"/>
          <w:b/>
          <w:color w:val="auto"/>
          <w:sz w:val="22"/>
          <w:szCs w:val="22"/>
          <w:lang w:val="fr-FR"/>
        </w:rPr>
      </w:pPr>
    </w:p>
    <w:p w:rsidR="00C600CC" w:rsidRPr="00A05731" w:rsidRDefault="00C600CC" w:rsidP="00997D72">
      <w:pPr>
        <w:pStyle w:val="LauftextImpressumrot"/>
        <w:spacing w:after="120" w:line="276" w:lineRule="auto"/>
        <w:rPr>
          <w:rFonts w:ascii="TT Norms" w:hAnsi="TT Norms" w:cs="Arial"/>
          <w:b/>
          <w:color w:val="auto"/>
          <w:sz w:val="22"/>
          <w:szCs w:val="22"/>
        </w:rPr>
      </w:pPr>
      <w:r>
        <w:rPr>
          <w:rFonts w:ascii="TT Norms" w:hAnsi="TT Norms"/>
          <w:b/>
          <w:color w:val="auto"/>
          <w:sz w:val="22"/>
          <w:szCs w:val="22"/>
        </w:rPr>
        <w:t>Informations contextuelles</w:t>
      </w:r>
    </w:p>
    <w:p w:rsidR="00C600CC" w:rsidRPr="00A05731" w:rsidRDefault="00C600CC" w:rsidP="00997D72">
      <w:pPr>
        <w:pStyle w:val="Lauftextschwarz"/>
        <w:widowControl w:val="0"/>
        <w:spacing w:before="360" w:after="120" w:line="276" w:lineRule="auto"/>
        <w:rPr>
          <w:rFonts w:ascii="TT Norms" w:hAnsi="TT Norms" w:cs="Arial"/>
          <w:b/>
          <w:sz w:val="22"/>
          <w:szCs w:val="22"/>
        </w:rPr>
      </w:pPr>
      <w:r>
        <w:rPr>
          <w:rFonts w:ascii="TT Norms" w:hAnsi="TT Norms"/>
          <w:b/>
          <w:sz w:val="22"/>
          <w:szCs w:val="22"/>
        </w:rPr>
        <w:t xml:space="preserve">Indice TIC </w:t>
      </w:r>
      <w:proofErr w:type="spellStart"/>
      <w:r>
        <w:rPr>
          <w:rFonts w:ascii="TT Norms" w:hAnsi="TT Norms"/>
          <w:b/>
          <w:sz w:val="22"/>
          <w:szCs w:val="22"/>
        </w:rPr>
        <w:t>Swico</w:t>
      </w:r>
      <w:proofErr w:type="spellEnd"/>
    </w:p>
    <w:p w:rsidR="00C600CC" w:rsidRPr="00A05731" w:rsidRDefault="428B7E12" w:rsidP="428B7E12">
      <w:pPr>
        <w:pStyle w:val="LauftextImpressumrot"/>
        <w:spacing w:after="120" w:line="276" w:lineRule="auto"/>
        <w:rPr>
          <w:rFonts w:ascii="TT Norms" w:eastAsia="Arial" w:hAnsi="TT Norms" w:cs="Arial"/>
          <w:color w:val="auto"/>
          <w:sz w:val="22"/>
          <w:szCs w:val="22"/>
        </w:rPr>
      </w:pPr>
      <w:r>
        <w:rPr>
          <w:rFonts w:ascii="TT Norms" w:hAnsi="TT Norms"/>
          <w:color w:val="auto"/>
          <w:sz w:val="22"/>
          <w:szCs w:val="22"/>
        </w:rPr>
        <w:t xml:space="preserve">L’indice fournit trimestriellement des informations sur la manière dont les acteurs du marché prévoient l’évolution économique des technologies de l’information et de la communication suisses (TIC) et des secteurs Électronique grand public (EGP) et Imagerie/Finitions/Impression (IFI) dans les domaines clés suivants: carnet de commandes, emploi, performance de l’activité et dynamisme. L’indice TIC </w:t>
      </w:r>
      <w:proofErr w:type="spellStart"/>
      <w:r>
        <w:rPr>
          <w:rFonts w:ascii="TT Norms" w:hAnsi="TT Norms"/>
          <w:color w:val="auto"/>
          <w:sz w:val="22"/>
          <w:szCs w:val="22"/>
        </w:rPr>
        <w:t>Swico</w:t>
      </w:r>
      <w:proofErr w:type="spellEnd"/>
      <w:r>
        <w:rPr>
          <w:rFonts w:ascii="TT Norms" w:hAnsi="TT Norms"/>
          <w:color w:val="auto"/>
          <w:sz w:val="22"/>
          <w:szCs w:val="22"/>
        </w:rPr>
        <w:t xml:space="preserve"> se fonde sur l’estimation de cadres. Le cabinet d’analyse et de conseil TIC </w:t>
      </w:r>
      <w:proofErr w:type="spellStart"/>
      <w:r>
        <w:rPr>
          <w:rFonts w:ascii="TT Norms" w:hAnsi="TT Norms"/>
          <w:color w:val="auto"/>
          <w:sz w:val="22"/>
          <w:szCs w:val="22"/>
        </w:rPr>
        <w:t>sieber&amp;partners</w:t>
      </w:r>
      <w:proofErr w:type="spellEnd"/>
      <w:r>
        <w:rPr>
          <w:rFonts w:ascii="TT Norms" w:hAnsi="TT Norms"/>
          <w:color w:val="auto"/>
          <w:sz w:val="22"/>
          <w:szCs w:val="22"/>
        </w:rPr>
        <w:t xml:space="preserve"> est responsable de la collecte et de l’évaluation. Toutes les données sont traitées de manière anonyme. Les participants à l’enquête recevront l’ensemble de l’analyse gratuitement.</w:t>
      </w:r>
    </w:p>
    <w:p w:rsidR="00C600CC" w:rsidRPr="00A05731" w:rsidRDefault="428B7E12" w:rsidP="428B7E12">
      <w:pPr>
        <w:pStyle w:val="LauftextImpressumrot"/>
        <w:spacing w:after="120" w:line="276" w:lineRule="auto"/>
        <w:rPr>
          <w:rFonts w:ascii="TT Norms" w:eastAsia="Arial" w:hAnsi="TT Norms" w:cs="Arial"/>
          <w:color w:val="auto"/>
          <w:sz w:val="22"/>
          <w:szCs w:val="22"/>
        </w:rPr>
      </w:pPr>
      <w:r>
        <w:rPr>
          <w:rFonts w:ascii="TT Norms" w:hAnsi="TT Norms"/>
          <w:color w:val="auto"/>
          <w:sz w:val="22"/>
          <w:szCs w:val="22"/>
        </w:rPr>
        <w:t xml:space="preserve">Toutes les entreprises des secteurs TIC, EGP et IFI peuvent en principe participer à l’enquête en ligne. Si cela vous intéresse, veuillez prendre contact avec Stephan Vollmer (stephan.vollmer@swico.ch). </w:t>
      </w:r>
    </w:p>
    <w:p w:rsidR="00C600CC" w:rsidRPr="00A05731" w:rsidRDefault="00A71CCB" w:rsidP="00997D72">
      <w:pPr>
        <w:pStyle w:val="Lauftextschwarz"/>
        <w:widowControl w:val="0"/>
        <w:spacing w:before="360" w:after="120" w:line="276" w:lineRule="auto"/>
        <w:rPr>
          <w:rFonts w:ascii="TT Norms" w:hAnsi="TT Norms" w:cs="Arial"/>
          <w:b/>
          <w:sz w:val="22"/>
          <w:szCs w:val="22"/>
        </w:rPr>
      </w:pPr>
      <w:proofErr w:type="spellStart"/>
      <w:r>
        <w:rPr>
          <w:rFonts w:ascii="TT Norms" w:hAnsi="TT Norms"/>
          <w:b/>
          <w:sz w:val="22"/>
          <w:szCs w:val="22"/>
        </w:rPr>
        <w:t>Swico</w:t>
      </w:r>
      <w:proofErr w:type="spellEnd"/>
    </w:p>
    <w:p w:rsidR="00C600CC" w:rsidRPr="00A05731" w:rsidRDefault="00AB7918" w:rsidP="00997D72">
      <w:pPr>
        <w:pStyle w:val="LauftextImpressumrot"/>
        <w:spacing w:after="120" w:line="276" w:lineRule="auto"/>
        <w:rPr>
          <w:rFonts w:ascii="TT Norms" w:hAnsi="TT Norms" w:cs="Arial"/>
          <w:color w:val="auto"/>
          <w:sz w:val="22"/>
          <w:szCs w:val="22"/>
        </w:rPr>
      </w:pPr>
      <w:proofErr w:type="spellStart"/>
      <w:r>
        <w:rPr>
          <w:rFonts w:ascii="TT Norms" w:hAnsi="TT Norms"/>
          <w:color w:val="auto"/>
          <w:sz w:val="22"/>
          <w:szCs w:val="22"/>
        </w:rPr>
        <w:t>Swico</w:t>
      </w:r>
      <w:proofErr w:type="spellEnd"/>
      <w:r>
        <w:rPr>
          <w:rFonts w:ascii="TT Norms" w:hAnsi="TT Norms"/>
          <w:color w:val="auto"/>
          <w:sz w:val="22"/>
          <w:szCs w:val="22"/>
        </w:rPr>
        <w:t xml:space="preserve"> est l’association professionnelle pour le secteur des TIC et d’Internet et représente les intérêts des entreprises établies et des start-up sur les plans politique, économique et social. Elle compte 600 entreprises affiliées employant 56 000 personnes et réalisant un chiffre d’affaires annuel de 40 milliards de francs. Elles couvrent tous les niveaux de la chaîne de création de valeur des modèles économiques numériques et comprennent notamment le matériel, les logiciels, l’hébergement et les services informatiques ainsi que le consulting, le marketing et la communication numériques. Des secteurs fortement orientés vers le numérique tels que la domotique, la branche de la photo, du film et de l’impression viennent en outre s’y greffer.</w:t>
      </w:r>
    </w:p>
    <w:p w:rsidR="00C600CC" w:rsidRPr="00A05731" w:rsidRDefault="00C600CC" w:rsidP="00997D72">
      <w:pPr>
        <w:pStyle w:val="Lauftextschwarz"/>
        <w:widowControl w:val="0"/>
        <w:spacing w:before="360" w:after="120" w:line="276" w:lineRule="auto"/>
        <w:rPr>
          <w:rFonts w:ascii="TT Norms" w:hAnsi="TT Norms" w:cs="Arial"/>
          <w:b/>
          <w:sz w:val="22"/>
          <w:szCs w:val="22"/>
        </w:rPr>
      </w:pPr>
      <w:proofErr w:type="spellStart"/>
      <w:r>
        <w:rPr>
          <w:rFonts w:ascii="TT Norms" w:hAnsi="TT Norms"/>
          <w:b/>
          <w:sz w:val="22"/>
          <w:szCs w:val="22"/>
        </w:rPr>
        <w:t>sieber&amp;partners</w:t>
      </w:r>
      <w:proofErr w:type="spellEnd"/>
    </w:p>
    <w:p w:rsidR="000A0886" w:rsidRPr="00A05731" w:rsidRDefault="002158CC" w:rsidP="002158CC">
      <w:pPr>
        <w:pStyle w:val="LauftextImpressumrot"/>
        <w:spacing w:after="120" w:line="276" w:lineRule="auto"/>
        <w:rPr>
          <w:rFonts w:ascii="TT Norms" w:hAnsi="TT Norms"/>
          <w:sz w:val="22"/>
          <w:szCs w:val="22"/>
        </w:rPr>
      </w:pPr>
      <w:proofErr w:type="spellStart"/>
      <w:r>
        <w:rPr>
          <w:rFonts w:ascii="TT Norms" w:hAnsi="TT Norms"/>
          <w:color w:val="auto"/>
          <w:sz w:val="22"/>
          <w:szCs w:val="22"/>
        </w:rPr>
        <w:t>sieber&amp;partners</w:t>
      </w:r>
      <w:proofErr w:type="spellEnd"/>
      <w:r>
        <w:rPr>
          <w:rFonts w:ascii="TT Norms" w:hAnsi="TT Norms"/>
          <w:color w:val="auto"/>
          <w:sz w:val="22"/>
          <w:szCs w:val="22"/>
        </w:rPr>
        <w:t xml:space="preserve"> accompagne les entreprises dans le monde numérique. En tant que cabinet d’analyse et de conseil TIC indépendant, nous développons des stratégies innovantes pour la transformation de modèles et processus commerciaux et réalisons des études de marché dans le secteur des TIC. L’équipe de 30 personnes s’appuie sur un réseau économique, scientifique et politique et s’engage en faveur d’un échange actif d’expériences et d’idées entre ces domaines.</w:t>
      </w:r>
    </w:p>
    <w:sectPr w:rsidR="000A0886" w:rsidRPr="00A05731" w:rsidSect="00856D09">
      <w:headerReference w:type="default" r:id="rId11"/>
      <w:footerReference w:type="default" r:id="rId12"/>
      <w:headerReference w:type="first" r:id="rId13"/>
      <w:footerReference w:type="first" r:id="rId14"/>
      <w:pgSz w:w="11906" w:h="16838" w:code="9"/>
      <w:pgMar w:top="1985" w:right="1418" w:bottom="1531"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EF0" w:rsidRDefault="00720EF0">
      <w:r>
        <w:separator/>
      </w:r>
    </w:p>
  </w:endnote>
  <w:endnote w:type="continuationSeparator" w:id="0">
    <w:p w:rsidR="00720EF0" w:rsidRDefault="0072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59"/>
    <w:family w:val="auto"/>
    <w:pitch w:val="variable"/>
    <w:sig w:usb0="00000000" w:usb1="C0007843" w:usb2="00000009" w:usb3="00000000" w:csb0="000001FF" w:csb1="00000000"/>
  </w:font>
  <w:font w:name="HelveticaNeue-Bold">
    <w:altName w:val="Times New Roman"/>
    <w:panose1 w:val="02000803000000090004"/>
    <w:charset w:val="00"/>
    <w:family w:val="auto"/>
    <w:notTrueType/>
    <w:pitch w:val="variable"/>
    <w:sig w:usb0="E50002FF" w:usb1="500079DB" w:usb2="00001010" w:usb3="00000000" w:csb0="00000001" w:csb1="00000000"/>
  </w:font>
  <w:font w:name="ArialMT">
    <w:altName w:val="Arial"/>
    <w:panose1 w:val="020B0604020202020204"/>
    <w:charset w:val="00"/>
    <w:family w:val="roman"/>
    <w:notTrueType/>
    <w:pitch w:val="default"/>
  </w:font>
  <w:font w:name="TT Norms">
    <w:altName w:val="Calibri"/>
    <w:panose1 w:val="020B0604020202020204"/>
    <w:charset w:val="4D"/>
    <w:family w:val="auto"/>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9A" w:rsidRDefault="004C369A">
    <w:pPr>
      <w:pStyle w:val="Fuzeile"/>
    </w:pPr>
    <w:r>
      <w:t xml:space="preserve">© 2020 </w:t>
    </w:r>
    <w:proofErr w:type="spellStart"/>
    <w:r>
      <w:t>Swico</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9A" w:rsidRPr="0064233E" w:rsidRDefault="004C369A" w:rsidP="0064233E">
    <w:pPr>
      <w:pStyle w:val="Fuzeile"/>
    </w:pPr>
    <w:r>
      <w:t xml:space="preserve">© 2017 </w:t>
    </w:r>
    <w:proofErr w:type="spellStart"/>
    <w:r>
      <w:t>Swico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EF0" w:rsidRDefault="00720EF0">
      <w:r>
        <w:separator/>
      </w:r>
    </w:p>
  </w:footnote>
  <w:footnote w:type="continuationSeparator" w:id="0">
    <w:p w:rsidR="00720EF0" w:rsidRDefault="0072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ayout w:type="fixed"/>
      <w:tblCellMar>
        <w:left w:w="0" w:type="dxa"/>
        <w:right w:w="0" w:type="dxa"/>
      </w:tblCellMar>
      <w:tblLook w:val="01E0" w:firstRow="1" w:lastRow="1" w:firstColumn="1" w:lastColumn="1" w:noHBand="0" w:noVBand="0"/>
    </w:tblPr>
    <w:tblGrid>
      <w:gridCol w:w="6521"/>
      <w:gridCol w:w="859"/>
      <w:gridCol w:w="1692"/>
    </w:tblGrid>
    <w:tr w:rsidR="004C369A" w:rsidRPr="00A71CCB" w:rsidTr="00502817">
      <w:trPr>
        <w:cantSplit/>
        <w:trHeight w:hRule="exact" w:val="852"/>
      </w:trPr>
      <w:tc>
        <w:tcPr>
          <w:tcW w:w="6521" w:type="dxa"/>
          <w:shd w:val="clear" w:color="auto" w:fill="auto"/>
          <w:vAlign w:val="bottom"/>
        </w:tcPr>
        <w:p w:rsidR="004C369A" w:rsidRPr="00A71CCB" w:rsidRDefault="004C369A" w:rsidP="001F29EC">
          <w:pPr>
            <w:pStyle w:val="TitelBetreff"/>
            <w:rPr>
              <w:sz w:val="18"/>
              <w:szCs w:val="18"/>
            </w:rPr>
          </w:pPr>
          <w:r>
            <w:rPr>
              <w:rStyle w:val="fett"/>
              <w:sz w:val="18"/>
              <w:szCs w:val="18"/>
            </w:rPr>
            <w:t xml:space="preserve">Page </w:t>
          </w:r>
          <w:r w:rsidRPr="00A71CCB">
            <w:rPr>
              <w:rStyle w:val="fett"/>
              <w:sz w:val="18"/>
              <w:szCs w:val="18"/>
            </w:rPr>
            <w:fldChar w:fldCharType="begin"/>
          </w:r>
          <w:r w:rsidRPr="00A71CCB">
            <w:rPr>
              <w:rStyle w:val="fett"/>
              <w:sz w:val="18"/>
              <w:szCs w:val="18"/>
            </w:rPr>
            <w:instrText xml:space="preserve"> PAGE </w:instrText>
          </w:r>
          <w:r w:rsidRPr="00A71CCB">
            <w:rPr>
              <w:rStyle w:val="fett"/>
              <w:sz w:val="18"/>
              <w:szCs w:val="18"/>
            </w:rPr>
            <w:fldChar w:fldCharType="separate"/>
          </w:r>
          <w:r w:rsidR="006A3C22">
            <w:rPr>
              <w:rStyle w:val="fett"/>
              <w:sz w:val="18"/>
              <w:szCs w:val="18"/>
            </w:rPr>
            <w:t>3</w:t>
          </w:r>
          <w:r w:rsidRPr="00A71CCB">
            <w:rPr>
              <w:rStyle w:val="fett"/>
              <w:sz w:val="18"/>
              <w:szCs w:val="18"/>
            </w:rPr>
            <w:fldChar w:fldCharType="end"/>
          </w:r>
        </w:p>
      </w:tc>
      <w:tc>
        <w:tcPr>
          <w:tcW w:w="859" w:type="dxa"/>
          <w:shd w:val="clear" w:color="auto" w:fill="auto"/>
        </w:tcPr>
        <w:p w:rsidR="004C369A" w:rsidRPr="00A71CCB" w:rsidRDefault="004C369A" w:rsidP="00FD073A">
          <w:pPr>
            <w:pStyle w:val="Kopfzeile"/>
            <w:rPr>
              <w:sz w:val="18"/>
              <w:szCs w:val="18"/>
            </w:rPr>
          </w:pPr>
        </w:p>
      </w:tc>
      <w:tc>
        <w:tcPr>
          <w:tcW w:w="1692" w:type="dxa"/>
          <w:shd w:val="clear" w:color="auto" w:fill="auto"/>
        </w:tcPr>
        <w:p w:rsidR="004C369A" w:rsidRPr="00A71CCB" w:rsidRDefault="004C369A" w:rsidP="00946432">
          <w:pPr>
            <w:pStyle w:val="LogoKopf"/>
            <w:rPr>
              <w:sz w:val="18"/>
              <w:szCs w:val="18"/>
            </w:rPr>
          </w:pPr>
        </w:p>
      </w:tc>
    </w:tr>
    <w:tr w:rsidR="004C369A" w:rsidTr="00502817">
      <w:trPr>
        <w:cantSplit/>
        <w:trHeight w:hRule="exact" w:val="424"/>
      </w:trPr>
      <w:tc>
        <w:tcPr>
          <w:tcW w:w="9072" w:type="dxa"/>
          <w:gridSpan w:val="3"/>
          <w:shd w:val="clear" w:color="auto" w:fill="auto"/>
        </w:tcPr>
        <w:p w:rsidR="004C369A" w:rsidRDefault="004C369A" w:rsidP="002814A3"/>
      </w:tc>
    </w:tr>
  </w:tbl>
  <w:p w:rsidR="004C369A" w:rsidRDefault="004C36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5" w:type="dxa"/>
      <w:tblLayout w:type="fixed"/>
      <w:tblCellMar>
        <w:left w:w="0" w:type="dxa"/>
        <w:right w:w="0" w:type="dxa"/>
      </w:tblCellMar>
      <w:tblLook w:val="01E0" w:firstRow="1" w:lastRow="1" w:firstColumn="1" w:lastColumn="1" w:noHBand="0" w:noVBand="0"/>
    </w:tblPr>
    <w:tblGrid>
      <w:gridCol w:w="1980"/>
      <w:gridCol w:w="2277"/>
      <w:gridCol w:w="3125"/>
      <w:gridCol w:w="1693"/>
    </w:tblGrid>
    <w:tr w:rsidR="004C369A" w:rsidRPr="00DB10D0" w:rsidTr="00502817">
      <w:tc>
        <w:tcPr>
          <w:tcW w:w="1980" w:type="dxa"/>
          <w:shd w:val="clear" w:color="auto" w:fill="auto"/>
          <w:hideMark/>
        </w:tcPr>
        <w:p w:rsidR="004C369A" w:rsidRDefault="004C369A">
          <w:pPr>
            <w:pStyle w:val="KopfzeileAbstVor"/>
          </w:pPr>
          <w:proofErr w:type="spellStart"/>
          <w:r>
            <w:t>Swico</w:t>
          </w:r>
          <w:proofErr w:type="spellEnd"/>
        </w:p>
        <w:p w:rsidR="004C369A" w:rsidRDefault="005869E1">
          <w:pPr>
            <w:pStyle w:val="Kopfzeile"/>
          </w:pPr>
          <w:proofErr w:type="spellStart"/>
          <w:r>
            <w:t>Lagerstrasse</w:t>
          </w:r>
          <w:proofErr w:type="spellEnd"/>
          <w:r>
            <w:t xml:space="preserve"> 33</w:t>
          </w:r>
        </w:p>
        <w:p w:rsidR="004C369A" w:rsidRDefault="004C369A" w:rsidP="005869E1">
          <w:pPr>
            <w:pStyle w:val="Kopfzeile"/>
          </w:pPr>
          <w:r>
            <w:t>CH-8004 Zurich</w:t>
          </w:r>
        </w:p>
      </w:tc>
      <w:tc>
        <w:tcPr>
          <w:tcW w:w="2276" w:type="dxa"/>
          <w:shd w:val="clear" w:color="auto" w:fill="auto"/>
          <w:hideMark/>
        </w:tcPr>
        <w:p w:rsidR="004C369A" w:rsidRPr="00A71CCB" w:rsidRDefault="004C369A">
          <w:pPr>
            <w:pStyle w:val="KopfzeileAbstVor"/>
          </w:pPr>
          <w:r>
            <w:t>Tél.+41 44 446 90 90</w:t>
          </w:r>
        </w:p>
        <w:p w:rsidR="004C369A" w:rsidRPr="00A71CCB" w:rsidRDefault="004C369A">
          <w:pPr>
            <w:pStyle w:val="Kopfzeile"/>
          </w:pPr>
          <w:r>
            <w:t>www.swico.ch</w:t>
          </w:r>
        </w:p>
        <w:p w:rsidR="004C369A" w:rsidRPr="00A71CCB" w:rsidRDefault="004C369A">
          <w:pPr>
            <w:pStyle w:val="Kopfzeile"/>
          </w:pPr>
          <w:r>
            <w:t>info@swico.ch</w:t>
          </w:r>
        </w:p>
      </w:tc>
      <w:tc>
        <w:tcPr>
          <w:tcW w:w="3124" w:type="dxa"/>
          <w:shd w:val="clear" w:color="auto" w:fill="auto"/>
        </w:tcPr>
        <w:p w:rsidR="004C369A" w:rsidRPr="00A71CCB" w:rsidRDefault="004C369A">
          <w:pPr>
            <w:pStyle w:val="Kopfzeile"/>
          </w:pPr>
        </w:p>
      </w:tc>
      <w:tc>
        <w:tcPr>
          <w:tcW w:w="1692" w:type="dxa"/>
          <w:shd w:val="clear" w:color="auto" w:fill="auto"/>
          <w:hideMark/>
        </w:tcPr>
        <w:p w:rsidR="004C369A" w:rsidRPr="00A71CCB" w:rsidRDefault="005869E1" w:rsidP="00502817">
          <w:pPr>
            <w:pStyle w:val="LogoKopf"/>
            <w:spacing w:line="260" w:lineRule="atLeast"/>
          </w:pPr>
          <w:r>
            <w:rPr>
              <w:noProof/>
            </w:rPr>
            <w:drawing>
              <wp:inline distT="0" distB="0" distL="0" distR="0" wp14:anchorId="3877F5E0" wp14:editId="5815D385">
                <wp:extent cx="1075055" cy="4578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swico_logo_rgb.jpg"/>
                        <pic:cNvPicPr/>
                      </pic:nvPicPr>
                      <pic:blipFill>
                        <a:blip r:embed="rId1">
                          <a:extLst>
                            <a:ext uri="{28A0092B-C50C-407E-A947-70E740481C1C}">
                              <a14:useLocalDpi xmlns:a14="http://schemas.microsoft.com/office/drawing/2010/main" val="0"/>
                            </a:ext>
                          </a:extLst>
                        </a:blip>
                        <a:stretch>
                          <a:fillRect/>
                        </a:stretch>
                      </pic:blipFill>
                      <pic:spPr>
                        <a:xfrm>
                          <a:off x="0" y="0"/>
                          <a:ext cx="1075055" cy="457835"/>
                        </a:xfrm>
                        <a:prstGeom prst="rect">
                          <a:avLst/>
                        </a:prstGeom>
                      </pic:spPr>
                    </pic:pic>
                  </a:graphicData>
                </a:graphic>
              </wp:inline>
            </w:drawing>
          </w:r>
        </w:p>
      </w:tc>
    </w:tr>
  </w:tbl>
  <w:p w:rsidR="004C369A" w:rsidRPr="00A71CCB" w:rsidRDefault="004C369A" w:rsidP="00FD07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2A0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21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04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5E4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9C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C3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29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6E9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64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61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93925"/>
    <w:multiLevelType w:val="multilevel"/>
    <w:tmpl w:val="70061C6A"/>
    <w:styleLink w:val="ListeCheckbox"/>
    <w:lvl w:ilvl="0">
      <w:start w:val="1"/>
      <w:numFmt w:val="bullet"/>
      <w:pStyle w:val="Checkboxaus"/>
      <w:lvlText w:val=""/>
      <w:lvlJc w:val="left"/>
      <w:pPr>
        <w:tabs>
          <w:tab w:val="num" w:pos="360"/>
        </w:tabs>
        <w:ind w:left="360" w:hanging="360"/>
      </w:pPr>
      <w:rPr>
        <w:rFonts w:ascii="Wingdings 2" w:hAnsi="Wingdings 2" w:hint="default"/>
        <w:sz w:val="24"/>
      </w:rPr>
    </w:lvl>
    <w:lvl w:ilvl="1">
      <w:start w:val="1"/>
      <w:numFmt w:val="bullet"/>
      <w:pStyle w:val="Checkboxein"/>
      <w:lvlText w:val=""/>
      <w:lvlJc w:val="left"/>
      <w:pPr>
        <w:tabs>
          <w:tab w:val="num" w:pos="357"/>
        </w:tabs>
        <w:ind w:left="357" w:hanging="357"/>
      </w:pPr>
      <w:rPr>
        <w:rFonts w:ascii="Wingdings 2" w:hAnsi="Wingdings 2"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845008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AF53FC"/>
    <w:multiLevelType w:val="hybridMultilevel"/>
    <w:tmpl w:val="4CD610E0"/>
    <w:lvl w:ilvl="0" w:tplc="4EF8F11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2AD0EA7"/>
    <w:multiLevelType w:val="multilevel"/>
    <w:tmpl w:val="34120AFE"/>
    <w:styleLink w:val="ListeUe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39925065"/>
    <w:multiLevelType w:val="hybridMultilevel"/>
    <w:tmpl w:val="EE8E496E"/>
    <w:lvl w:ilvl="0" w:tplc="265CF4C2">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CF12CB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F9E5764"/>
    <w:multiLevelType w:val="hybridMultilevel"/>
    <w:tmpl w:val="4B4CF4AA"/>
    <w:lvl w:ilvl="0" w:tplc="3086D858">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7584AFB"/>
    <w:multiLevelType w:val="hybridMultilevel"/>
    <w:tmpl w:val="DA9C2E5E"/>
    <w:lvl w:ilvl="0" w:tplc="E3362E20">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1E2B23"/>
    <w:multiLevelType w:val="multilevel"/>
    <w:tmpl w:val="9C48EC56"/>
    <w:styleLink w:val="ListeAufzaehlung"/>
    <w:lvl w:ilvl="0">
      <w:start w:val="1"/>
      <w:numFmt w:val="bullet"/>
      <w:pStyle w:val="Aufzhlungszeichen"/>
      <w:lvlText w:val="•"/>
      <w:lvlJc w:val="left"/>
      <w:pPr>
        <w:tabs>
          <w:tab w:val="num" w:pos="170"/>
        </w:tabs>
        <w:ind w:left="170" w:hanging="170"/>
      </w:pPr>
      <w:rPr>
        <w:rFonts w:ascii="Arial" w:hAnsi="Arial" w:hint="default"/>
      </w:rPr>
    </w:lvl>
    <w:lvl w:ilvl="1">
      <w:start w:val="1"/>
      <w:numFmt w:val="bullet"/>
      <w:pStyle w:val="Aufzhlungszeichen2"/>
      <w:lvlText w:val="•"/>
      <w:lvlJc w:val="left"/>
      <w:pPr>
        <w:tabs>
          <w:tab w:val="num" w:pos="680"/>
        </w:tabs>
        <w:ind w:left="680" w:hanging="170"/>
      </w:pPr>
      <w:rPr>
        <w:rFonts w:ascii="Arial" w:hAnsi="Arial" w:hint="default"/>
      </w:rPr>
    </w:lvl>
    <w:lvl w:ilvl="2">
      <w:start w:val="1"/>
      <w:numFmt w:val="bullet"/>
      <w:pStyle w:val="Aufzhlungszeichen3"/>
      <w:lvlText w:val="•"/>
      <w:lvlJc w:val="left"/>
      <w:pPr>
        <w:tabs>
          <w:tab w:val="num" w:pos="1191"/>
        </w:tabs>
        <w:ind w:left="1191" w:hanging="17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B664E0"/>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B3D02B0"/>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FC4565"/>
    <w:multiLevelType w:val="multilevel"/>
    <w:tmpl w:val="3DB6D416"/>
    <w:styleLink w:val="ListeNummerierung"/>
    <w:lvl w:ilvl="0">
      <w:start w:val="1"/>
      <w:numFmt w:val="decimal"/>
      <w:pStyle w:val="Liste"/>
      <w:lvlText w:val="%1."/>
      <w:lvlJc w:val="left"/>
      <w:pPr>
        <w:tabs>
          <w:tab w:val="num" w:pos="284"/>
        </w:tabs>
        <w:ind w:left="284" w:hanging="284"/>
      </w:pPr>
      <w:rPr>
        <w:rFonts w:hint="default"/>
      </w:rPr>
    </w:lvl>
    <w:lvl w:ilvl="1">
      <w:start w:val="1"/>
      <w:numFmt w:val="decimal"/>
      <w:pStyle w:val="Liste2"/>
      <w:lvlText w:val="%2."/>
      <w:lvlJc w:val="left"/>
      <w:pPr>
        <w:tabs>
          <w:tab w:val="num" w:pos="567"/>
        </w:tabs>
        <w:ind w:left="567" w:hanging="283"/>
      </w:pPr>
      <w:rPr>
        <w:rFonts w:hint="default"/>
      </w:rPr>
    </w:lvl>
    <w:lvl w:ilvl="2">
      <w:start w:val="1"/>
      <w:numFmt w:val="decimal"/>
      <w:pStyle w:val="Liste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BD47B05"/>
    <w:multiLevelType w:val="hybridMultilevel"/>
    <w:tmpl w:val="67DC0402"/>
    <w:lvl w:ilvl="0" w:tplc="265CF4C2">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8"/>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19"/>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21"/>
  </w:num>
  <w:num w:numId="23">
    <w:abstractNumId w:val="13"/>
  </w:num>
  <w:num w:numId="24">
    <w:abstractNumId w:val="12"/>
  </w:num>
  <w:num w:numId="25">
    <w:abstractNumId w:val="13"/>
  </w:num>
  <w:num w:numId="26">
    <w:abstractNumId w:val="11"/>
  </w:num>
  <w:num w:numId="27">
    <w:abstractNumId w:val="14"/>
  </w:num>
  <w:num w:numId="28">
    <w:abstractNumId w:val="22"/>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33"/>
    <w:rsid w:val="000014CA"/>
    <w:rsid w:val="00006889"/>
    <w:rsid w:val="000273AC"/>
    <w:rsid w:val="000335E8"/>
    <w:rsid w:val="00035962"/>
    <w:rsid w:val="00037642"/>
    <w:rsid w:val="00040CFC"/>
    <w:rsid w:val="000427FB"/>
    <w:rsid w:val="00054ADC"/>
    <w:rsid w:val="00056521"/>
    <w:rsid w:val="00057D7B"/>
    <w:rsid w:val="00062BDB"/>
    <w:rsid w:val="000657C3"/>
    <w:rsid w:val="00081496"/>
    <w:rsid w:val="0008449B"/>
    <w:rsid w:val="000921C8"/>
    <w:rsid w:val="000A0886"/>
    <w:rsid w:val="000A2038"/>
    <w:rsid w:val="000B26E0"/>
    <w:rsid w:val="000C1A4E"/>
    <w:rsid w:val="000C415F"/>
    <w:rsid w:val="000C5D69"/>
    <w:rsid w:val="000D15F4"/>
    <w:rsid w:val="000F6008"/>
    <w:rsid w:val="001006B3"/>
    <w:rsid w:val="001026AE"/>
    <w:rsid w:val="0010396E"/>
    <w:rsid w:val="00110A2C"/>
    <w:rsid w:val="0013629B"/>
    <w:rsid w:val="001476B4"/>
    <w:rsid w:val="0015559A"/>
    <w:rsid w:val="00160A88"/>
    <w:rsid w:val="0016145E"/>
    <w:rsid w:val="00162C8C"/>
    <w:rsid w:val="00172F43"/>
    <w:rsid w:val="0017606A"/>
    <w:rsid w:val="00181F35"/>
    <w:rsid w:val="001875E8"/>
    <w:rsid w:val="001934C4"/>
    <w:rsid w:val="00194BEF"/>
    <w:rsid w:val="001B287C"/>
    <w:rsid w:val="001B2DA9"/>
    <w:rsid w:val="001D1945"/>
    <w:rsid w:val="001D6D3A"/>
    <w:rsid w:val="001E552D"/>
    <w:rsid w:val="001F02C4"/>
    <w:rsid w:val="001F29EC"/>
    <w:rsid w:val="001F4B97"/>
    <w:rsid w:val="002104C5"/>
    <w:rsid w:val="00213E93"/>
    <w:rsid w:val="002158CC"/>
    <w:rsid w:val="00222C00"/>
    <w:rsid w:val="002436E6"/>
    <w:rsid w:val="00262BD2"/>
    <w:rsid w:val="0026593D"/>
    <w:rsid w:val="0027070E"/>
    <w:rsid w:val="00271037"/>
    <w:rsid w:val="002814A3"/>
    <w:rsid w:val="00281B0C"/>
    <w:rsid w:val="0028676C"/>
    <w:rsid w:val="00293F7D"/>
    <w:rsid w:val="00297001"/>
    <w:rsid w:val="002A3ACB"/>
    <w:rsid w:val="002B2D19"/>
    <w:rsid w:val="002B2E0A"/>
    <w:rsid w:val="002C2C1A"/>
    <w:rsid w:val="002C6633"/>
    <w:rsid w:val="002D1A56"/>
    <w:rsid w:val="002D25C7"/>
    <w:rsid w:val="002E5692"/>
    <w:rsid w:val="00300A2E"/>
    <w:rsid w:val="00315FA6"/>
    <w:rsid w:val="0031640D"/>
    <w:rsid w:val="003311FC"/>
    <w:rsid w:val="00333C38"/>
    <w:rsid w:val="0035186A"/>
    <w:rsid w:val="0035280A"/>
    <w:rsid w:val="00362EAB"/>
    <w:rsid w:val="003711A1"/>
    <w:rsid w:val="003717E6"/>
    <w:rsid w:val="0037625B"/>
    <w:rsid w:val="00382286"/>
    <w:rsid w:val="0038440A"/>
    <w:rsid w:val="00385599"/>
    <w:rsid w:val="00394E5F"/>
    <w:rsid w:val="003A727B"/>
    <w:rsid w:val="003B36C9"/>
    <w:rsid w:val="003C6E46"/>
    <w:rsid w:val="003C79E6"/>
    <w:rsid w:val="003D4ED6"/>
    <w:rsid w:val="003D58B8"/>
    <w:rsid w:val="003E6294"/>
    <w:rsid w:val="003E7027"/>
    <w:rsid w:val="003F1F31"/>
    <w:rsid w:val="0040463F"/>
    <w:rsid w:val="00404D29"/>
    <w:rsid w:val="004050BF"/>
    <w:rsid w:val="004060FD"/>
    <w:rsid w:val="00421906"/>
    <w:rsid w:val="00423736"/>
    <w:rsid w:val="00432BC1"/>
    <w:rsid w:val="00440C89"/>
    <w:rsid w:val="00441592"/>
    <w:rsid w:val="00447980"/>
    <w:rsid w:val="00452D8A"/>
    <w:rsid w:val="00456D00"/>
    <w:rsid w:val="0046089D"/>
    <w:rsid w:val="004620AE"/>
    <w:rsid w:val="00467368"/>
    <w:rsid w:val="00471959"/>
    <w:rsid w:val="00473A2E"/>
    <w:rsid w:val="00474396"/>
    <w:rsid w:val="00476466"/>
    <w:rsid w:val="00476CA3"/>
    <w:rsid w:val="00481CB8"/>
    <w:rsid w:val="00481FD1"/>
    <w:rsid w:val="0049301C"/>
    <w:rsid w:val="00495F44"/>
    <w:rsid w:val="00497631"/>
    <w:rsid w:val="004A1FD5"/>
    <w:rsid w:val="004A46A1"/>
    <w:rsid w:val="004A7C0F"/>
    <w:rsid w:val="004B00D6"/>
    <w:rsid w:val="004B33C7"/>
    <w:rsid w:val="004B778E"/>
    <w:rsid w:val="004C0B03"/>
    <w:rsid w:val="004C270F"/>
    <w:rsid w:val="004C369A"/>
    <w:rsid w:val="004D29AF"/>
    <w:rsid w:val="004D560A"/>
    <w:rsid w:val="004E0D13"/>
    <w:rsid w:val="004E65DB"/>
    <w:rsid w:val="004E70E1"/>
    <w:rsid w:val="00501064"/>
    <w:rsid w:val="00502817"/>
    <w:rsid w:val="00502FD2"/>
    <w:rsid w:val="0051479F"/>
    <w:rsid w:val="00527DE6"/>
    <w:rsid w:val="00532A0B"/>
    <w:rsid w:val="00534367"/>
    <w:rsid w:val="005347EF"/>
    <w:rsid w:val="005355C6"/>
    <w:rsid w:val="00542C63"/>
    <w:rsid w:val="005433A0"/>
    <w:rsid w:val="0054654B"/>
    <w:rsid w:val="0054666C"/>
    <w:rsid w:val="0055518A"/>
    <w:rsid w:val="00572F53"/>
    <w:rsid w:val="0058113F"/>
    <w:rsid w:val="005821E7"/>
    <w:rsid w:val="00584D2A"/>
    <w:rsid w:val="005869E1"/>
    <w:rsid w:val="00586A26"/>
    <w:rsid w:val="00586C83"/>
    <w:rsid w:val="00586F62"/>
    <w:rsid w:val="0059190C"/>
    <w:rsid w:val="005A4D8E"/>
    <w:rsid w:val="005A5728"/>
    <w:rsid w:val="005B2DFE"/>
    <w:rsid w:val="005B5A45"/>
    <w:rsid w:val="005D22FA"/>
    <w:rsid w:val="005D576C"/>
    <w:rsid w:val="005E32E4"/>
    <w:rsid w:val="005E730C"/>
    <w:rsid w:val="005F2F9C"/>
    <w:rsid w:val="005F4745"/>
    <w:rsid w:val="005F64CA"/>
    <w:rsid w:val="00604769"/>
    <w:rsid w:val="00607D3F"/>
    <w:rsid w:val="00624555"/>
    <w:rsid w:val="0064121B"/>
    <w:rsid w:val="006413F2"/>
    <w:rsid w:val="0064233E"/>
    <w:rsid w:val="00642F35"/>
    <w:rsid w:val="00651CE7"/>
    <w:rsid w:val="00657099"/>
    <w:rsid w:val="006601DA"/>
    <w:rsid w:val="00660C54"/>
    <w:rsid w:val="00662539"/>
    <w:rsid w:val="00662EA6"/>
    <w:rsid w:val="00663479"/>
    <w:rsid w:val="00664E74"/>
    <w:rsid w:val="00667198"/>
    <w:rsid w:val="006704B2"/>
    <w:rsid w:val="00676C3E"/>
    <w:rsid w:val="00685126"/>
    <w:rsid w:val="00687F80"/>
    <w:rsid w:val="00695F17"/>
    <w:rsid w:val="0069602C"/>
    <w:rsid w:val="006A3C22"/>
    <w:rsid w:val="006A4E83"/>
    <w:rsid w:val="006B26D7"/>
    <w:rsid w:val="006C43AF"/>
    <w:rsid w:val="006C57D6"/>
    <w:rsid w:val="006C5D16"/>
    <w:rsid w:val="006D38A4"/>
    <w:rsid w:val="006E1930"/>
    <w:rsid w:val="006E48F3"/>
    <w:rsid w:val="006F72F8"/>
    <w:rsid w:val="00720EF0"/>
    <w:rsid w:val="00724F3D"/>
    <w:rsid w:val="00725D21"/>
    <w:rsid w:val="0073097F"/>
    <w:rsid w:val="007324CC"/>
    <w:rsid w:val="0073732F"/>
    <w:rsid w:val="0074466B"/>
    <w:rsid w:val="0074599F"/>
    <w:rsid w:val="00746D58"/>
    <w:rsid w:val="00753CF0"/>
    <w:rsid w:val="00753E20"/>
    <w:rsid w:val="00755BD8"/>
    <w:rsid w:val="007609A7"/>
    <w:rsid w:val="00762799"/>
    <w:rsid w:val="007646D7"/>
    <w:rsid w:val="00770178"/>
    <w:rsid w:val="00775F9E"/>
    <w:rsid w:val="00777CCA"/>
    <w:rsid w:val="00783177"/>
    <w:rsid w:val="007868FC"/>
    <w:rsid w:val="00791101"/>
    <w:rsid w:val="00797AE3"/>
    <w:rsid w:val="007A399A"/>
    <w:rsid w:val="007B3535"/>
    <w:rsid w:val="007B7A27"/>
    <w:rsid w:val="007C14F6"/>
    <w:rsid w:val="007C551E"/>
    <w:rsid w:val="007D0DCA"/>
    <w:rsid w:val="007D148F"/>
    <w:rsid w:val="007D1704"/>
    <w:rsid w:val="007D3330"/>
    <w:rsid w:val="007E520A"/>
    <w:rsid w:val="007E62D9"/>
    <w:rsid w:val="007F3C06"/>
    <w:rsid w:val="007F6BB1"/>
    <w:rsid w:val="00813250"/>
    <w:rsid w:val="008156AA"/>
    <w:rsid w:val="008173F8"/>
    <w:rsid w:val="00822DA5"/>
    <w:rsid w:val="008304A4"/>
    <w:rsid w:val="00830757"/>
    <w:rsid w:val="008338DD"/>
    <w:rsid w:val="00835E78"/>
    <w:rsid w:val="00836C46"/>
    <w:rsid w:val="00836F07"/>
    <w:rsid w:val="00842085"/>
    <w:rsid w:val="0084331A"/>
    <w:rsid w:val="00847508"/>
    <w:rsid w:val="00850547"/>
    <w:rsid w:val="008535DE"/>
    <w:rsid w:val="00856D09"/>
    <w:rsid w:val="00857D35"/>
    <w:rsid w:val="00861DA7"/>
    <w:rsid w:val="008665B7"/>
    <w:rsid w:val="00872B8C"/>
    <w:rsid w:val="00885D53"/>
    <w:rsid w:val="0089106B"/>
    <w:rsid w:val="00896632"/>
    <w:rsid w:val="00897B5D"/>
    <w:rsid w:val="008B3FE6"/>
    <w:rsid w:val="008B5CDE"/>
    <w:rsid w:val="008C2B16"/>
    <w:rsid w:val="008E1B7E"/>
    <w:rsid w:val="008E49BF"/>
    <w:rsid w:val="008E4E8D"/>
    <w:rsid w:val="008F245D"/>
    <w:rsid w:val="00901F92"/>
    <w:rsid w:val="00904D46"/>
    <w:rsid w:val="0090777D"/>
    <w:rsid w:val="0092255D"/>
    <w:rsid w:val="0092445E"/>
    <w:rsid w:val="009341E4"/>
    <w:rsid w:val="00935098"/>
    <w:rsid w:val="00936478"/>
    <w:rsid w:val="009415C6"/>
    <w:rsid w:val="00946432"/>
    <w:rsid w:val="00953664"/>
    <w:rsid w:val="009557F5"/>
    <w:rsid w:val="00961AD1"/>
    <w:rsid w:val="0097457F"/>
    <w:rsid w:val="00977503"/>
    <w:rsid w:val="0098057B"/>
    <w:rsid w:val="009813AA"/>
    <w:rsid w:val="009878E8"/>
    <w:rsid w:val="00997D72"/>
    <w:rsid w:val="009A2A16"/>
    <w:rsid w:val="009A3694"/>
    <w:rsid w:val="009B74A4"/>
    <w:rsid w:val="009B7FF7"/>
    <w:rsid w:val="009C118A"/>
    <w:rsid w:val="009C27F0"/>
    <w:rsid w:val="009C56B5"/>
    <w:rsid w:val="009D26C5"/>
    <w:rsid w:val="009D3F54"/>
    <w:rsid w:val="009F12FC"/>
    <w:rsid w:val="009F2E84"/>
    <w:rsid w:val="00A01779"/>
    <w:rsid w:val="00A022D1"/>
    <w:rsid w:val="00A02682"/>
    <w:rsid w:val="00A030FC"/>
    <w:rsid w:val="00A04768"/>
    <w:rsid w:val="00A05731"/>
    <w:rsid w:val="00A05B22"/>
    <w:rsid w:val="00A07895"/>
    <w:rsid w:val="00A144E0"/>
    <w:rsid w:val="00A24978"/>
    <w:rsid w:val="00A31D08"/>
    <w:rsid w:val="00A43C4B"/>
    <w:rsid w:val="00A47A02"/>
    <w:rsid w:val="00A50619"/>
    <w:rsid w:val="00A52EC3"/>
    <w:rsid w:val="00A71CCB"/>
    <w:rsid w:val="00A74569"/>
    <w:rsid w:val="00A82360"/>
    <w:rsid w:val="00A87B62"/>
    <w:rsid w:val="00A92EB0"/>
    <w:rsid w:val="00A93E2F"/>
    <w:rsid w:val="00A942B5"/>
    <w:rsid w:val="00A94C96"/>
    <w:rsid w:val="00AA1C0D"/>
    <w:rsid w:val="00AA2243"/>
    <w:rsid w:val="00AA4B33"/>
    <w:rsid w:val="00AA69AF"/>
    <w:rsid w:val="00AA7778"/>
    <w:rsid w:val="00AB7918"/>
    <w:rsid w:val="00AB7D59"/>
    <w:rsid w:val="00AB7F5C"/>
    <w:rsid w:val="00AC1593"/>
    <w:rsid w:val="00AD6DE2"/>
    <w:rsid w:val="00AF6475"/>
    <w:rsid w:val="00B15A71"/>
    <w:rsid w:val="00B2187B"/>
    <w:rsid w:val="00B3172E"/>
    <w:rsid w:val="00B35B89"/>
    <w:rsid w:val="00B37DB4"/>
    <w:rsid w:val="00B40B03"/>
    <w:rsid w:val="00B45713"/>
    <w:rsid w:val="00B50DFE"/>
    <w:rsid w:val="00B71A2C"/>
    <w:rsid w:val="00B729F4"/>
    <w:rsid w:val="00B73386"/>
    <w:rsid w:val="00B77F5C"/>
    <w:rsid w:val="00B808D5"/>
    <w:rsid w:val="00B82B2C"/>
    <w:rsid w:val="00B85D80"/>
    <w:rsid w:val="00B926C7"/>
    <w:rsid w:val="00B92C3A"/>
    <w:rsid w:val="00B937A6"/>
    <w:rsid w:val="00BB2CFB"/>
    <w:rsid w:val="00BB3643"/>
    <w:rsid w:val="00BB40B3"/>
    <w:rsid w:val="00BB4243"/>
    <w:rsid w:val="00BB57B0"/>
    <w:rsid w:val="00BB6A63"/>
    <w:rsid w:val="00BB7702"/>
    <w:rsid w:val="00BB7797"/>
    <w:rsid w:val="00BD3ABB"/>
    <w:rsid w:val="00BE1F72"/>
    <w:rsid w:val="00BE3BF1"/>
    <w:rsid w:val="00BE3D28"/>
    <w:rsid w:val="00BE4551"/>
    <w:rsid w:val="00BF0336"/>
    <w:rsid w:val="00BF2817"/>
    <w:rsid w:val="00BF6A5F"/>
    <w:rsid w:val="00C023BC"/>
    <w:rsid w:val="00C07421"/>
    <w:rsid w:val="00C16F4B"/>
    <w:rsid w:val="00C229A2"/>
    <w:rsid w:val="00C24BC6"/>
    <w:rsid w:val="00C26402"/>
    <w:rsid w:val="00C312B8"/>
    <w:rsid w:val="00C4051B"/>
    <w:rsid w:val="00C44CA4"/>
    <w:rsid w:val="00C50810"/>
    <w:rsid w:val="00C511E4"/>
    <w:rsid w:val="00C51352"/>
    <w:rsid w:val="00C600CC"/>
    <w:rsid w:val="00C634D0"/>
    <w:rsid w:val="00C75DC4"/>
    <w:rsid w:val="00C8209E"/>
    <w:rsid w:val="00C94C7B"/>
    <w:rsid w:val="00C97728"/>
    <w:rsid w:val="00CC14E5"/>
    <w:rsid w:val="00CC1B93"/>
    <w:rsid w:val="00CC5409"/>
    <w:rsid w:val="00CE3BD4"/>
    <w:rsid w:val="00CE69B7"/>
    <w:rsid w:val="00CF19D0"/>
    <w:rsid w:val="00CF2BA5"/>
    <w:rsid w:val="00CF505F"/>
    <w:rsid w:val="00CF7F61"/>
    <w:rsid w:val="00D05AF3"/>
    <w:rsid w:val="00D1508C"/>
    <w:rsid w:val="00D15415"/>
    <w:rsid w:val="00D15D98"/>
    <w:rsid w:val="00D25FCA"/>
    <w:rsid w:val="00D27262"/>
    <w:rsid w:val="00D278A6"/>
    <w:rsid w:val="00D3087E"/>
    <w:rsid w:val="00D363BE"/>
    <w:rsid w:val="00D632E7"/>
    <w:rsid w:val="00D76238"/>
    <w:rsid w:val="00D775DC"/>
    <w:rsid w:val="00D80E0D"/>
    <w:rsid w:val="00D8431A"/>
    <w:rsid w:val="00D92A63"/>
    <w:rsid w:val="00D9552D"/>
    <w:rsid w:val="00D95C03"/>
    <w:rsid w:val="00DB10D0"/>
    <w:rsid w:val="00DB2919"/>
    <w:rsid w:val="00DB6074"/>
    <w:rsid w:val="00DB7AD7"/>
    <w:rsid w:val="00DC739E"/>
    <w:rsid w:val="00DE1B71"/>
    <w:rsid w:val="00DE2AB6"/>
    <w:rsid w:val="00DF38D3"/>
    <w:rsid w:val="00DF5154"/>
    <w:rsid w:val="00E00D51"/>
    <w:rsid w:val="00E024CE"/>
    <w:rsid w:val="00E10EFF"/>
    <w:rsid w:val="00E16A60"/>
    <w:rsid w:val="00E17551"/>
    <w:rsid w:val="00E26EF6"/>
    <w:rsid w:val="00E44344"/>
    <w:rsid w:val="00E465A7"/>
    <w:rsid w:val="00E47B15"/>
    <w:rsid w:val="00E551CF"/>
    <w:rsid w:val="00E55897"/>
    <w:rsid w:val="00E60C4B"/>
    <w:rsid w:val="00E6142F"/>
    <w:rsid w:val="00E628A9"/>
    <w:rsid w:val="00E67885"/>
    <w:rsid w:val="00E679F3"/>
    <w:rsid w:val="00E701EA"/>
    <w:rsid w:val="00E76EB5"/>
    <w:rsid w:val="00E82545"/>
    <w:rsid w:val="00E83338"/>
    <w:rsid w:val="00EB0ED8"/>
    <w:rsid w:val="00EB2404"/>
    <w:rsid w:val="00EB4F94"/>
    <w:rsid w:val="00EB7A58"/>
    <w:rsid w:val="00EC116A"/>
    <w:rsid w:val="00ED7267"/>
    <w:rsid w:val="00EE3643"/>
    <w:rsid w:val="00EE3D33"/>
    <w:rsid w:val="00EF098B"/>
    <w:rsid w:val="00EF4915"/>
    <w:rsid w:val="00EF7492"/>
    <w:rsid w:val="00F01FCA"/>
    <w:rsid w:val="00F02427"/>
    <w:rsid w:val="00F07CE2"/>
    <w:rsid w:val="00F1606C"/>
    <w:rsid w:val="00F172BD"/>
    <w:rsid w:val="00F21CA7"/>
    <w:rsid w:val="00F3022A"/>
    <w:rsid w:val="00F33794"/>
    <w:rsid w:val="00F356B0"/>
    <w:rsid w:val="00F56323"/>
    <w:rsid w:val="00F56C47"/>
    <w:rsid w:val="00F61257"/>
    <w:rsid w:val="00F706B2"/>
    <w:rsid w:val="00F732AE"/>
    <w:rsid w:val="00F84A9F"/>
    <w:rsid w:val="00F8675B"/>
    <w:rsid w:val="00F86961"/>
    <w:rsid w:val="00F87EC7"/>
    <w:rsid w:val="00F91B9C"/>
    <w:rsid w:val="00FA1967"/>
    <w:rsid w:val="00FA4310"/>
    <w:rsid w:val="00FA4CC6"/>
    <w:rsid w:val="00FD073A"/>
    <w:rsid w:val="00FE0752"/>
    <w:rsid w:val="00FE2835"/>
    <w:rsid w:val="00FE3518"/>
    <w:rsid w:val="00FE6FF1"/>
    <w:rsid w:val="00FE72AA"/>
    <w:rsid w:val="00FF1C88"/>
    <w:rsid w:val="00FF4BAF"/>
    <w:rsid w:val="00FF4D1A"/>
    <w:rsid w:val="00FF5EF8"/>
    <w:rsid w:val="428B7E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7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64233E"/>
    <w:pPr>
      <w:tabs>
        <w:tab w:val="left" w:pos="851"/>
        <w:tab w:val="left" w:pos="1985"/>
      </w:tabs>
      <w:spacing w:line="260" w:lineRule="atLeast"/>
    </w:pPr>
    <w:rPr>
      <w:rFonts w:ascii="Arial" w:hAnsi="Arial"/>
      <w:szCs w:val="24"/>
    </w:rPr>
  </w:style>
  <w:style w:type="paragraph" w:styleId="berschrift1">
    <w:name w:val="heading 1"/>
    <w:basedOn w:val="Standard"/>
    <w:next w:val="Standard"/>
    <w:qFormat/>
    <w:rsid w:val="00F33794"/>
    <w:pPr>
      <w:keepNext/>
      <w:keepLines/>
      <w:numPr>
        <w:numId w:val="1"/>
      </w:numPr>
      <w:spacing w:before="480" w:after="120" w:line="280" w:lineRule="atLeast"/>
      <w:outlineLvl w:val="0"/>
    </w:pPr>
    <w:rPr>
      <w:rFonts w:cs="Arial"/>
      <w:b/>
      <w:bCs/>
      <w:kern w:val="32"/>
      <w:sz w:val="24"/>
      <w:szCs w:val="32"/>
    </w:rPr>
  </w:style>
  <w:style w:type="paragraph" w:styleId="berschrift2">
    <w:name w:val="heading 2"/>
    <w:basedOn w:val="Standard"/>
    <w:next w:val="Standard"/>
    <w:qFormat/>
    <w:rsid w:val="00F33794"/>
    <w:pPr>
      <w:keepNext/>
      <w:keepLines/>
      <w:numPr>
        <w:ilvl w:val="1"/>
        <w:numId w:val="1"/>
      </w:numPr>
      <w:spacing w:before="240" w:after="120"/>
      <w:outlineLvl w:val="1"/>
    </w:pPr>
    <w:rPr>
      <w:rFonts w:cs="Arial"/>
      <w:b/>
      <w:bCs/>
      <w:iCs/>
      <w:sz w:val="22"/>
      <w:szCs w:val="28"/>
    </w:rPr>
  </w:style>
  <w:style w:type="paragraph" w:styleId="berschrift3">
    <w:name w:val="heading 3"/>
    <w:basedOn w:val="Standard"/>
    <w:next w:val="Standard"/>
    <w:qFormat/>
    <w:rsid w:val="00F33794"/>
    <w:pPr>
      <w:keepNext/>
      <w:keepLines/>
      <w:numPr>
        <w:ilvl w:val="2"/>
        <w:numId w:val="1"/>
      </w:numPr>
      <w:spacing w:before="240" w:after="120"/>
      <w:outlineLvl w:val="2"/>
    </w:pPr>
    <w:rPr>
      <w:rFonts w:cs="Arial"/>
      <w:b/>
      <w:bCs/>
      <w:szCs w:val="26"/>
    </w:rPr>
  </w:style>
  <w:style w:type="paragraph" w:styleId="berschrift4">
    <w:name w:val="heading 4"/>
    <w:basedOn w:val="Standard"/>
    <w:next w:val="Standard"/>
    <w:semiHidden/>
    <w:unhideWhenUsed/>
    <w:qFormat/>
    <w:rsid w:val="00F33794"/>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semiHidden/>
    <w:unhideWhenUsed/>
    <w:qFormat/>
    <w:rsid w:val="00F33794"/>
    <w:pPr>
      <w:numPr>
        <w:ilvl w:val="4"/>
        <w:numId w:val="1"/>
      </w:numPr>
      <w:spacing w:before="240" w:after="60"/>
      <w:outlineLvl w:val="4"/>
    </w:pPr>
    <w:rPr>
      <w:b/>
      <w:bCs/>
      <w:i/>
      <w:iCs/>
      <w:sz w:val="26"/>
      <w:szCs w:val="26"/>
    </w:rPr>
  </w:style>
  <w:style w:type="paragraph" w:styleId="berschrift6">
    <w:name w:val="heading 6"/>
    <w:basedOn w:val="Standard"/>
    <w:next w:val="Standard"/>
    <w:semiHidden/>
    <w:unhideWhenUsed/>
    <w:qFormat/>
    <w:rsid w:val="00F33794"/>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semiHidden/>
    <w:unhideWhenUsed/>
    <w:qFormat/>
    <w:rsid w:val="00F33794"/>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semiHidden/>
    <w:unhideWhenUsed/>
    <w:qFormat/>
    <w:rsid w:val="00F33794"/>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semiHidden/>
    <w:unhideWhenUsed/>
    <w:qFormat/>
    <w:rsid w:val="00F33794"/>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34C4"/>
    <w:pPr>
      <w:tabs>
        <w:tab w:val="clear" w:pos="851"/>
        <w:tab w:val="left" w:pos="360"/>
        <w:tab w:val="left" w:pos="567"/>
        <w:tab w:val="center" w:pos="4536"/>
        <w:tab w:val="right" w:pos="9072"/>
      </w:tabs>
      <w:spacing w:line="188" w:lineRule="atLeast"/>
    </w:pPr>
    <w:rPr>
      <w:sz w:val="15"/>
    </w:rPr>
  </w:style>
  <w:style w:type="paragraph" w:styleId="Fuzeile">
    <w:name w:val="footer"/>
    <w:basedOn w:val="Standard"/>
    <w:rsid w:val="0064233E"/>
    <w:pPr>
      <w:tabs>
        <w:tab w:val="clear" w:pos="851"/>
        <w:tab w:val="clear" w:pos="1985"/>
        <w:tab w:val="center" w:pos="4536"/>
        <w:tab w:val="right" w:pos="9072"/>
      </w:tabs>
    </w:pPr>
    <w:rPr>
      <w:sz w:val="12"/>
    </w:rPr>
  </w:style>
  <w:style w:type="table" w:styleId="Tabellenraster">
    <w:name w:val="Table Grid"/>
    <w:basedOn w:val="NormaleTabelle"/>
    <w:rsid w:val="005B2D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9F12FC"/>
    <w:rPr>
      <w:color w:val="0000FF"/>
      <w:u w:val="single"/>
    </w:rPr>
  </w:style>
  <w:style w:type="paragraph" w:customStyle="1" w:styleId="TitelBetreff">
    <w:name w:val="Titel/Betreff"/>
    <w:basedOn w:val="Standard"/>
    <w:next w:val="Standard"/>
    <w:link w:val="TitelBetreffZchnZchn"/>
    <w:qFormat/>
    <w:rsid w:val="00586A26"/>
    <w:rPr>
      <w:b/>
    </w:rPr>
  </w:style>
  <w:style w:type="character" w:customStyle="1" w:styleId="TitelBetreffZchnZchn">
    <w:name w:val="Titel/Betreff Zchn Zchn"/>
    <w:link w:val="TitelBetreff"/>
    <w:rsid w:val="00586A26"/>
    <w:rPr>
      <w:rFonts w:ascii="Arial" w:hAnsi="Arial"/>
      <w:b/>
      <w:szCs w:val="24"/>
      <w:lang w:val="fr-CH" w:eastAsia="de-CH" w:bidi="ar-SA"/>
    </w:rPr>
  </w:style>
  <w:style w:type="character" w:customStyle="1" w:styleId="fett">
    <w:name w:val="fett"/>
    <w:semiHidden/>
    <w:rsid w:val="0098057B"/>
    <w:rPr>
      <w:b/>
    </w:rPr>
  </w:style>
  <w:style w:type="character" w:styleId="Seitenzahl">
    <w:name w:val="page number"/>
    <w:basedOn w:val="Absatz-Standardschriftart"/>
    <w:semiHidden/>
    <w:rsid w:val="0098057B"/>
  </w:style>
  <w:style w:type="numbering" w:customStyle="1" w:styleId="ListeUeberschriften">
    <w:name w:val="Liste_Ueberschriften"/>
    <w:basedOn w:val="KeineListe"/>
    <w:semiHidden/>
    <w:rsid w:val="00F33794"/>
    <w:pPr>
      <w:numPr>
        <w:numId w:val="1"/>
      </w:numPr>
    </w:pPr>
  </w:style>
  <w:style w:type="numbering" w:customStyle="1" w:styleId="ListeAufzaehlung">
    <w:name w:val="Liste_Aufzaehlung"/>
    <w:basedOn w:val="KeineListe"/>
    <w:semiHidden/>
    <w:rsid w:val="00501064"/>
    <w:pPr>
      <w:numPr>
        <w:numId w:val="7"/>
      </w:numPr>
    </w:pPr>
  </w:style>
  <w:style w:type="numbering" w:styleId="111111">
    <w:name w:val="Outline List 2"/>
    <w:basedOn w:val="KeineListe"/>
    <w:semiHidden/>
    <w:rsid w:val="006601DA"/>
    <w:pPr>
      <w:numPr>
        <w:numId w:val="13"/>
      </w:numPr>
    </w:pPr>
  </w:style>
  <w:style w:type="paragraph" w:styleId="Aufzhlungszeichen">
    <w:name w:val="List Bullet"/>
    <w:basedOn w:val="Standard"/>
    <w:qFormat/>
    <w:rsid w:val="00501064"/>
    <w:pPr>
      <w:numPr>
        <w:numId w:val="7"/>
      </w:numPr>
    </w:pPr>
  </w:style>
  <w:style w:type="paragraph" w:styleId="Aufzhlungszeichen2">
    <w:name w:val="List Bullet 2"/>
    <w:basedOn w:val="Standard"/>
    <w:qFormat/>
    <w:rsid w:val="00501064"/>
    <w:pPr>
      <w:numPr>
        <w:ilvl w:val="1"/>
        <w:numId w:val="7"/>
      </w:numPr>
    </w:pPr>
  </w:style>
  <w:style w:type="paragraph" w:styleId="Aufzhlungszeichen3">
    <w:name w:val="List Bullet 3"/>
    <w:basedOn w:val="Standard"/>
    <w:qFormat/>
    <w:rsid w:val="00501064"/>
    <w:pPr>
      <w:numPr>
        <w:ilvl w:val="2"/>
        <w:numId w:val="7"/>
      </w:numPr>
      <w:tabs>
        <w:tab w:val="clear" w:pos="851"/>
      </w:tabs>
    </w:pPr>
  </w:style>
  <w:style w:type="numbering" w:styleId="1ai">
    <w:name w:val="Outline List 1"/>
    <w:basedOn w:val="KeineListe"/>
    <w:semiHidden/>
    <w:rsid w:val="006601DA"/>
    <w:pPr>
      <w:numPr>
        <w:numId w:val="14"/>
      </w:numPr>
    </w:pPr>
  </w:style>
  <w:style w:type="paragraph" w:styleId="Anrede">
    <w:name w:val="Salutation"/>
    <w:basedOn w:val="Standard"/>
    <w:next w:val="Standard"/>
    <w:semiHidden/>
    <w:rsid w:val="006601DA"/>
  </w:style>
  <w:style w:type="numbering" w:styleId="ArtikelAbschnitt">
    <w:name w:val="Outline List 3"/>
    <w:basedOn w:val="KeineListe"/>
    <w:semiHidden/>
    <w:rsid w:val="006601DA"/>
    <w:pPr>
      <w:numPr>
        <w:numId w:val="15"/>
      </w:numPr>
    </w:pPr>
  </w:style>
  <w:style w:type="paragraph" w:styleId="Blocktext">
    <w:name w:val="Block Text"/>
    <w:basedOn w:val="Standard"/>
    <w:semiHidden/>
    <w:rsid w:val="006601DA"/>
    <w:pPr>
      <w:spacing w:after="120"/>
      <w:ind w:left="1440" w:right="1440"/>
    </w:pPr>
  </w:style>
  <w:style w:type="paragraph" w:styleId="Datum">
    <w:name w:val="Date"/>
    <w:basedOn w:val="Standard"/>
    <w:next w:val="Standard"/>
    <w:semiHidden/>
    <w:rsid w:val="006601DA"/>
  </w:style>
  <w:style w:type="paragraph" w:styleId="E-Mail-Signatur">
    <w:name w:val="E-mail Signature"/>
    <w:basedOn w:val="Standard"/>
    <w:semiHidden/>
    <w:rsid w:val="006601DA"/>
  </w:style>
  <w:style w:type="character" w:styleId="Fett0">
    <w:name w:val="Strong"/>
    <w:uiPriority w:val="22"/>
    <w:qFormat/>
    <w:rsid w:val="006601DA"/>
    <w:rPr>
      <w:b/>
      <w:bCs/>
    </w:rPr>
  </w:style>
  <w:style w:type="paragraph" w:styleId="Gruformel">
    <w:name w:val="Closing"/>
    <w:basedOn w:val="Standard"/>
    <w:semiHidden/>
    <w:rsid w:val="006601DA"/>
    <w:pPr>
      <w:ind w:left="4252"/>
    </w:pPr>
  </w:style>
  <w:style w:type="character" w:styleId="Hervorhebung">
    <w:name w:val="Emphasis"/>
    <w:semiHidden/>
    <w:qFormat/>
    <w:rsid w:val="006601DA"/>
    <w:rPr>
      <w:i/>
      <w:iCs/>
    </w:rPr>
  </w:style>
  <w:style w:type="paragraph" w:styleId="HTMLAdresse">
    <w:name w:val="HTML Address"/>
    <w:basedOn w:val="Standard"/>
    <w:semiHidden/>
    <w:rsid w:val="006601DA"/>
    <w:rPr>
      <w:i/>
      <w:iCs/>
    </w:rPr>
  </w:style>
  <w:style w:type="character" w:styleId="HTMLAkronym">
    <w:name w:val="HTML Acronym"/>
    <w:basedOn w:val="Absatz-Standardschriftart"/>
    <w:semiHidden/>
    <w:rsid w:val="006601DA"/>
  </w:style>
  <w:style w:type="character" w:styleId="HTMLBeispiel">
    <w:name w:val="HTML Sample"/>
    <w:semiHidden/>
    <w:rsid w:val="006601DA"/>
    <w:rPr>
      <w:rFonts w:ascii="Courier New" w:hAnsi="Courier New" w:cs="Courier New"/>
    </w:rPr>
  </w:style>
  <w:style w:type="character" w:styleId="HTMLCode">
    <w:name w:val="HTML Code"/>
    <w:semiHidden/>
    <w:rsid w:val="006601DA"/>
    <w:rPr>
      <w:rFonts w:ascii="Courier New" w:hAnsi="Courier New" w:cs="Courier New"/>
      <w:sz w:val="20"/>
      <w:szCs w:val="20"/>
    </w:rPr>
  </w:style>
  <w:style w:type="character" w:styleId="HTMLDefinition">
    <w:name w:val="HTML Definition"/>
    <w:semiHidden/>
    <w:rsid w:val="006601DA"/>
    <w:rPr>
      <w:i/>
      <w:iCs/>
    </w:rPr>
  </w:style>
  <w:style w:type="character" w:styleId="HTMLSchreibmaschine">
    <w:name w:val="HTML Typewriter"/>
    <w:semiHidden/>
    <w:rsid w:val="006601DA"/>
    <w:rPr>
      <w:rFonts w:ascii="Courier New" w:hAnsi="Courier New" w:cs="Courier New"/>
      <w:sz w:val="20"/>
      <w:szCs w:val="20"/>
    </w:rPr>
  </w:style>
  <w:style w:type="character" w:styleId="HTMLTastatur">
    <w:name w:val="HTML Keyboard"/>
    <w:semiHidden/>
    <w:rsid w:val="006601DA"/>
    <w:rPr>
      <w:rFonts w:ascii="Courier New" w:hAnsi="Courier New" w:cs="Courier New"/>
      <w:sz w:val="20"/>
      <w:szCs w:val="20"/>
    </w:rPr>
  </w:style>
  <w:style w:type="character" w:styleId="HTMLVariable">
    <w:name w:val="HTML Variable"/>
    <w:semiHidden/>
    <w:rsid w:val="006601DA"/>
    <w:rPr>
      <w:i/>
      <w:iCs/>
    </w:rPr>
  </w:style>
  <w:style w:type="paragraph" w:styleId="HTMLVorformatiert">
    <w:name w:val="HTML Preformatted"/>
    <w:basedOn w:val="Standard"/>
    <w:semiHidden/>
    <w:rsid w:val="006601DA"/>
    <w:rPr>
      <w:rFonts w:ascii="Courier New" w:hAnsi="Courier New" w:cs="Courier New"/>
      <w:szCs w:val="20"/>
    </w:rPr>
  </w:style>
  <w:style w:type="character" w:styleId="HTMLZitat">
    <w:name w:val="HTML Cite"/>
    <w:semiHidden/>
    <w:rsid w:val="006601DA"/>
    <w:rPr>
      <w:i/>
      <w:iCs/>
    </w:rPr>
  </w:style>
  <w:style w:type="paragraph" w:styleId="Listenfortsetzung">
    <w:name w:val="List Continue"/>
    <w:basedOn w:val="Standard"/>
    <w:semiHidden/>
    <w:rsid w:val="006601DA"/>
    <w:pPr>
      <w:spacing w:after="120"/>
      <w:ind w:left="283"/>
    </w:pPr>
  </w:style>
  <w:style w:type="paragraph" w:styleId="Listenfortsetzung2">
    <w:name w:val="List Continue 2"/>
    <w:basedOn w:val="Standard"/>
    <w:semiHidden/>
    <w:rsid w:val="006601DA"/>
    <w:pPr>
      <w:spacing w:after="120"/>
      <w:ind w:left="566"/>
    </w:pPr>
  </w:style>
  <w:style w:type="paragraph" w:styleId="Listenfortsetzung3">
    <w:name w:val="List Continue 3"/>
    <w:basedOn w:val="Standard"/>
    <w:semiHidden/>
    <w:rsid w:val="006601DA"/>
    <w:pPr>
      <w:spacing w:after="120"/>
      <w:ind w:left="849"/>
    </w:pPr>
  </w:style>
  <w:style w:type="paragraph" w:styleId="Listenfortsetzung4">
    <w:name w:val="List Continue 4"/>
    <w:basedOn w:val="Standard"/>
    <w:semiHidden/>
    <w:rsid w:val="006601DA"/>
    <w:pPr>
      <w:spacing w:after="120"/>
      <w:ind w:left="1132"/>
    </w:pPr>
  </w:style>
  <w:style w:type="paragraph" w:styleId="Listenfortsetzung5">
    <w:name w:val="List Continue 5"/>
    <w:basedOn w:val="Standard"/>
    <w:semiHidden/>
    <w:rsid w:val="006601DA"/>
    <w:pPr>
      <w:spacing w:after="120"/>
      <w:ind w:left="1415"/>
    </w:pPr>
  </w:style>
  <w:style w:type="paragraph" w:styleId="Nachrichtenkopf">
    <w:name w:val="Message Header"/>
    <w:basedOn w:val="Standard"/>
    <w:semiHidden/>
    <w:rsid w:val="006601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uiPriority w:val="99"/>
    <w:semiHidden/>
    <w:rsid w:val="006601DA"/>
    <w:rPr>
      <w:rFonts w:ascii="Times New Roman" w:hAnsi="Times New Roman"/>
      <w:sz w:val="24"/>
    </w:rPr>
  </w:style>
  <w:style w:type="paragraph" w:styleId="Standardeinzug">
    <w:name w:val="Normal Indent"/>
    <w:basedOn w:val="Standard"/>
    <w:semiHidden/>
    <w:rsid w:val="006601DA"/>
    <w:pPr>
      <w:ind w:left="708"/>
    </w:pPr>
  </w:style>
  <w:style w:type="table" w:styleId="Tabelle3D-Effekt1">
    <w:name w:val="Table 3D effects 1"/>
    <w:basedOn w:val="NormaleTabelle"/>
    <w:semiHidden/>
    <w:rsid w:val="006601DA"/>
    <w:pPr>
      <w:tabs>
        <w:tab w:val="left" w:pos="851"/>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601DA"/>
    <w:pPr>
      <w:tabs>
        <w:tab w:val="left" w:pos="851"/>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601DA"/>
    <w:pPr>
      <w:tabs>
        <w:tab w:val="left" w:pos="851"/>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601DA"/>
    <w:pPr>
      <w:tabs>
        <w:tab w:val="left" w:pos="851"/>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601DA"/>
    <w:pPr>
      <w:tabs>
        <w:tab w:val="left" w:pos="851"/>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601DA"/>
    <w:pPr>
      <w:tabs>
        <w:tab w:val="left" w:pos="851"/>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601DA"/>
    <w:pPr>
      <w:tabs>
        <w:tab w:val="left" w:pos="851"/>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601DA"/>
    <w:pPr>
      <w:tabs>
        <w:tab w:val="left" w:pos="851"/>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601DA"/>
    <w:pPr>
      <w:tabs>
        <w:tab w:val="left" w:pos="851"/>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601DA"/>
    <w:pPr>
      <w:tabs>
        <w:tab w:val="left" w:pos="851"/>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601DA"/>
    <w:pPr>
      <w:tabs>
        <w:tab w:val="left" w:pos="851"/>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601DA"/>
    <w:pPr>
      <w:tabs>
        <w:tab w:val="left" w:pos="851"/>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601DA"/>
    <w:pPr>
      <w:tabs>
        <w:tab w:val="left" w:pos="851"/>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601DA"/>
    <w:pPr>
      <w:tabs>
        <w:tab w:val="left" w:pos="851"/>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601DA"/>
    <w:pPr>
      <w:tabs>
        <w:tab w:val="left" w:pos="851"/>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601DA"/>
    <w:pPr>
      <w:tabs>
        <w:tab w:val="left" w:pos="851"/>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601DA"/>
    <w:pPr>
      <w:tabs>
        <w:tab w:val="left" w:pos="851"/>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601DA"/>
    <w:pPr>
      <w:tabs>
        <w:tab w:val="left" w:pos="851"/>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601DA"/>
    <w:pPr>
      <w:tabs>
        <w:tab w:val="left" w:pos="851"/>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601DA"/>
    <w:pPr>
      <w:tabs>
        <w:tab w:val="left" w:pos="851"/>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601DA"/>
    <w:pPr>
      <w:tabs>
        <w:tab w:val="left" w:pos="851"/>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601DA"/>
    <w:pPr>
      <w:tabs>
        <w:tab w:val="left" w:pos="851"/>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601DA"/>
    <w:pPr>
      <w:tabs>
        <w:tab w:val="left" w:pos="851"/>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601DA"/>
    <w:pPr>
      <w:tabs>
        <w:tab w:val="left" w:pos="851"/>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601DA"/>
    <w:pPr>
      <w:tabs>
        <w:tab w:val="left" w:pos="851"/>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601DA"/>
    <w:pPr>
      <w:tabs>
        <w:tab w:val="left" w:pos="851"/>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601DA"/>
    <w:pPr>
      <w:tabs>
        <w:tab w:val="left" w:pos="851"/>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601DA"/>
    <w:pPr>
      <w:tabs>
        <w:tab w:val="left" w:pos="851"/>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601DA"/>
    <w:pPr>
      <w:tabs>
        <w:tab w:val="left" w:pos="851"/>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601DA"/>
    <w:pPr>
      <w:tabs>
        <w:tab w:val="left" w:pos="851"/>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601DA"/>
    <w:pPr>
      <w:tabs>
        <w:tab w:val="left" w:pos="851"/>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601DA"/>
    <w:pPr>
      <w:tabs>
        <w:tab w:val="left" w:pos="85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601DA"/>
    <w:pPr>
      <w:spacing w:after="120"/>
    </w:pPr>
  </w:style>
  <w:style w:type="paragraph" w:styleId="Textkrper2">
    <w:name w:val="Body Text 2"/>
    <w:basedOn w:val="Standard"/>
    <w:semiHidden/>
    <w:rsid w:val="006601DA"/>
    <w:pPr>
      <w:spacing w:after="120" w:line="480" w:lineRule="auto"/>
    </w:pPr>
  </w:style>
  <w:style w:type="paragraph" w:styleId="Textkrper3">
    <w:name w:val="Body Text 3"/>
    <w:basedOn w:val="Standard"/>
    <w:semiHidden/>
    <w:rsid w:val="006601DA"/>
    <w:pPr>
      <w:spacing w:after="120"/>
    </w:pPr>
    <w:rPr>
      <w:sz w:val="16"/>
      <w:szCs w:val="16"/>
    </w:rPr>
  </w:style>
  <w:style w:type="paragraph" w:styleId="Textkrper-Einzug2">
    <w:name w:val="Body Text Indent 2"/>
    <w:basedOn w:val="Standard"/>
    <w:semiHidden/>
    <w:rsid w:val="006601DA"/>
    <w:pPr>
      <w:spacing w:after="120" w:line="480" w:lineRule="auto"/>
      <w:ind w:left="283"/>
    </w:pPr>
  </w:style>
  <w:style w:type="paragraph" w:styleId="Textkrper-Einzug3">
    <w:name w:val="Body Text Indent 3"/>
    <w:basedOn w:val="Standard"/>
    <w:semiHidden/>
    <w:rsid w:val="006601DA"/>
    <w:pPr>
      <w:spacing w:after="120"/>
      <w:ind w:left="283"/>
    </w:pPr>
    <w:rPr>
      <w:sz w:val="16"/>
      <w:szCs w:val="16"/>
    </w:rPr>
  </w:style>
  <w:style w:type="paragraph" w:styleId="Textkrper-Erstzeileneinzug">
    <w:name w:val="Body Text First Indent"/>
    <w:basedOn w:val="Textkrper"/>
    <w:semiHidden/>
    <w:rsid w:val="006601DA"/>
    <w:pPr>
      <w:ind w:firstLine="210"/>
    </w:pPr>
  </w:style>
  <w:style w:type="paragraph" w:styleId="Textkrper-Zeileneinzug">
    <w:name w:val="Body Text Indent"/>
    <w:basedOn w:val="Standard"/>
    <w:semiHidden/>
    <w:rsid w:val="006601DA"/>
    <w:pPr>
      <w:spacing w:after="120"/>
      <w:ind w:left="283"/>
    </w:pPr>
  </w:style>
  <w:style w:type="paragraph" w:styleId="Textkrper-Erstzeileneinzug2">
    <w:name w:val="Body Text First Indent 2"/>
    <w:basedOn w:val="Textkrper-Zeileneinzug"/>
    <w:semiHidden/>
    <w:rsid w:val="006601DA"/>
    <w:pPr>
      <w:ind w:firstLine="210"/>
    </w:pPr>
  </w:style>
  <w:style w:type="paragraph" w:styleId="Umschlagabsenderadresse">
    <w:name w:val="envelope return"/>
    <w:basedOn w:val="Standard"/>
    <w:semiHidden/>
    <w:rsid w:val="006601DA"/>
    <w:rPr>
      <w:rFonts w:cs="Arial"/>
      <w:szCs w:val="20"/>
    </w:rPr>
  </w:style>
  <w:style w:type="paragraph" w:styleId="Umschlagadresse">
    <w:name w:val="envelope address"/>
    <w:basedOn w:val="Standard"/>
    <w:semiHidden/>
    <w:rsid w:val="006601DA"/>
    <w:pPr>
      <w:framePr w:w="4320" w:h="2160" w:hRule="exact" w:hSpace="141" w:wrap="auto" w:hAnchor="page" w:xAlign="center" w:yAlign="bottom"/>
      <w:ind w:left="1"/>
    </w:pPr>
    <w:rPr>
      <w:rFonts w:cs="Arial"/>
      <w:sz w:val="24"/>
    </w:rPr>
  </w:style>
  <w:style w:type="paragraph" w:styleId="Unterschrift">
    <w:name w:val="Signature"/>
    <w:basedOn w:val="Standard"/>
    <w:semiHidden/>
    <w:rsid w:val="006601DA"/>
    <w:pPr>
      <w:ind w:left="4252"/>
    </w:pPr>
  </w:style>
  <w:style w:type="character" w:styleId="Zeilennummer">
    <w:name w:val="line number"/>
    <w:basedOn w:val="Absatz-Standardschriftart"/>
    <w:semiHidden/>
    <w:rsid w:val="006601DA"/>
  </w:style>
  <w:style w:type="paragraph" w:customStyle="1" w:styleId="LogoKopf">
    <w:name w:val="LogoKopf"/>
    <w:basedOn w:val="Standard"/>
    <w:next w:val="Standard"/>
    <w:semiHidden/>
    <w:rsid w:val="00946432"/>
    <w:pPr>
      <w:spacing w:line="240" w:lineRule="auto"/>
      <w:jc w:val="right"/>
    </w:pPr>
  </w:style>
  <w:style w:type="paragraph" w:customStyle="1" w:styleId="Checkboxaus">
    <w:name w:val="Checkbox aus"/>
    <w:basedOn w:val="Standard"/>
    <w:qFormat/>
    <w:rsid w:val="0040463F"/>
    <w:pPr>
      <w:numPr>
        <w:numId w:val="19"/>
      </w:numPr>
      <w:tabs>
        <w:tab w:val="clear" w:pos="851"/>
      </w:tabs>
      <w:spacing w:before="120" w:after="120"/>
    </w:pPr>
    <w:rPr>
      <w:lang w:eastAsia="de-DE"/>
    </w:rPr>
  </w:style>
  <w:style w:type="paragraph" w:customStyle="1" w:styleId="Checkboxein">
    <w:name w:val="Checkbox ein"/>
    <w:basedOn w:val="Standard"/>
    <w:next w:val="Checkboxaus"/>
    <w:qFormat/>
    <w:rsid w:val="0040463F"/>
    <w:pPr>
      <w:numPr>
        <w:ilvl w:val="1"/>
        <w:numId w:val="19"/>
      </w:numPr>
      <w:tabs>
        <w:tab w:val="clear" w:pos="851"/>
      </w:tabs>
      <w:spacing w:before="120" w:after="120"/>
    </w:pPr>
    <w:rPr>
      <w:lang w:eastAsia="de-DE"/>
    </w:rPr>
  </w:style>
  <w:style w:type="numbering" w:customStyle="1" w:styleId="ListeCheckbox">
    <w:name w:val="Liste Checkbox"/>
    <w:basedOn w:val="KeineListe"/>
    <w:semiHidden/>
    <w:rsid w:val="0040463F"/>
    <w:pPr>
      <w:numPr>
        <w:numId w:val="16"/>
      </w:numPr>
    </w:pPr>
  </w:style>
  <w:style w:type="paragraph" w:customStyle="1" w:styleId="Standardklein">
    <w:name w:val="Standard klein"/>
    <w:basedOn w:val="Standard"/>
    <w:semiHidden/>
    <w:rsid w:val="00A92EB0"/>
    <w:pPr>
      <w:spacing w:line="180" w:lineRule="atLeast"/>
    </w:pPr>
    <w:rPr>
      <w:sz w:val="15"/>
    </w:rPr>
  </w:style>
  <w:style w:type="paragraph" w:customStyle="1" w:styleId="Titel075fett">
    <w:name w:val="Titel 07.5 fett"/>
    <w:basedOn w:val="Standardklein"/>
    <w:next w:val="Standardklein"/>
    <w:semiHidden/>
    <w:rsid w:val="00A92EB0"/>
    <w:rPr>
      <w:b/>
    </w:rPr>
  </w:style>
  <w:style w:type="paragraph" w:customStyle="1" w:styleId="NameGruss">
    <w:name w:val="NameGruss"/>
    <w:basedOn w:val="Standard"/>
    <w:next w:val="Standard"/>
    <w:qFormat/>
    <w:rsid w:val="00FF5EF8"/>
    <w:pPr>
      <w:keepNext/>
      <w:keepLines/>
      <w:spacing w:before="780"/>
    </w:pPr>
  </w:style>
  <w:style w:type="paragraph" w:customStyle="1" w:styleId="Gruss">
    <w:name w:val="Gruss"/>
    <w:basedOn w:val="Standard"/>
    <w:next w:val="Standard"/>
    <w:rsid w:val="00FF5EF8"/>
    <w:pPr>
      <w:keepNext/>
      <w:keepLines/>
      <w:spacing w:before="260"/>
    </w:pPr>
  </w:style>
  <w:style w:type="paragraph" w:customStyle="1" w:styleId="Beilage">
    <w:name w:val="Beilage"/>
    <w:basedOn w:val="Standard"/>
    <w:next w:val="Standard"/>
    <w:qFormat/>
    <w:rsid w:val="00FF5EF8"/>
    <w:pPr>
      <w:keepNext/>
      <w:keepLines/>
      <w:spacing w:before="780"/>
    </w:pPr>
  </w:style>
  <w:style w:type="paragraph" w:customStyle="1" w:styleId="KopfzeileAbstVor">
    <w:name w:val="Kopfzeile AbstVor"/>
    <w:basedOn w:val="Kopfzeile"/>
    <w:next w:val="Kopfzeile"/>
    <w:semiHidden/>
    <w:rsid w:val="001934C4"/>
    <w:pPr>
      <w:spacing w:before="80"/>
    </w:pPr>
  </w:style>
  <w:style w:type="paragraph" w:styleId="Sprechblasentext">
    <w:name w:val="Balloon Text"/>
    <w:basedOn w:val="Standard"/>
    <w:semiHidden/>
    <w:rsid w:val="00586A26"/>
    <w:rPr>
      <w:rFonts w:ascii="Tahoma" w:hAnsi="Tahoma" w:cs="Tahoma"/>
      <w:sz w:val="16"/>
      <w:szCs w:val="16"/>
    </w:rPr>
  </w:style>
  <w:style w:type="numbering" w:customStyle="1" w:styleId="ListeNummerierung">
    <w:name w:val="Liste Nummerierung"/>
    <w:basedOn w:val="KeineListe"/>
    <w:semiHidden/>
    <w:rsid w:val="00D15415"/>
    <w:pPr>
      <w:numPr>
        <w:numId w:val="22"/>
      </w:numPr>
    </w:pPr>
  </w:style>
  <w:style w:type="character" w:customStyle="1" w:styleId="RefFV">
    <w:name w:val="Ref_FV"/>
    <w:semiHidden/>
    <w:rsid w:val="00421906"/>
    <w:rPr>
      <w:rFonts w:ascii="Arial" w:hAnsi="Arial"/>
      <w:bCs/>
      <w:sz w:val="2"/>
    </w:rPr>
  </w:style>
  <w:style w:type="paragraph" w:styleId="Liste">
    <w:name w:val="List"/>
    <w:basedOn w:val="Standard"/>
    <w:qFormat/>
    <w:rsid w:val="00D15415"/>
    <w:pPr>
      <w:numPr>
        <w:numId w:val="22"/>
      </w:numPr>
    </w:pPr>
  </w:style>
  <w:style w:type="paragraph" w:styleId="Liste2">
    <w:name w:val="List 2"/>
    <w:basedOn w:val="Standard"/>
    <w:semiHidden/>
    <w:unhideWhenUsed/>
    <w:rsid w:val="00D15415"/>
    <w:pPr>
      <w:numPr>
        <w:ilvl w:val="1"/>
        <w:numId w:val="22"/>
      </w:numPr>
    </w:pPr>
  </w:style>
  <w:style w:type="paragraph" w:styleId="Liste3">
    <w:name w:val="List 3"/>
    <w:basedOn w:val="Standard"/>
    <w:semiHidden/>
    <w:unhideWhenUsed/>
    <w:rsid w:val="00D15415"/>
    <w:pPr>
      <w:numPr>
        <w:ilvl w:val="2"/>
        <w:numId w:val="22"/>
      </w:numPr>
    </w:pPr>
  </w:style>
  <w:style w:type="character" w:customStyle="1" w:styleId="KopfzeileZchn">
    <w:name w:val="Kopfzeile Zchn"/>
    <w:link w:val="Kopfzeile"/>
    <w:rsid w:val="00E465A7"/>
    <w:rPr>
      <w:rFonts w:ascii="Arial" w:hAnsi="Arial"/>
      <w:sz w:val="15"/>
      <w:szCs w:val="24"/>
    </w:rPr>
  </w:style>
  <w:style w:type="paragraph" w:styleId="Listenabsatz">
    <w:name w:val="List Paragraph"/>
    <w:basedOn w:val="Standard"/>
    <w:uiPriority w:val="34"/>
    <w:unhideWhenUsed/>
    <w:qFormat/>
    <w:rsid w:val="00C26402"/>
    <w:pPr>
      <w:ind w:left="720"/>
      <w:contextualSpacing/>
    </w:pPr>
  </w:style>
  <w:style w:type="paragraph" w:customStyle="1" w:styleId="FormatvorlageTitel16Pt">
    <w:name w:val="Formatvorlage Titel + 16 Pt."/>
    <w:basedOn w:val="Titel"/>
    <w:rsid w:val="00502817"/>
    <w:pPr>
      <w:pBdr>
        <w:bottom w:val="none" w:sz="0" w:space="0" w:color="auto"/>
      </w:pBdr>
      <w:tabs>
        <w:tab w:val="clear" w:pos="851"/>
        <w:tab w:val="clear" w:pos="1985"/>
      </w:tabs>
      <w:spacing w:after="60"/>
      <w:contextualSpacing w:val="0"/>
      <w:outlineLvl w:val="0"/>
    </w:pPr>
    <w:rPr>
      <w:rFonts w:ascii="Arial" w:hAnsi="Arial"/>
      <w:b/>
      <w:bCs/>
      <w:color w:val="auto"/>
      <w:spacing w:val="0"/>
      <w:sz w:val="28"/>
      <w:szCs w:val="32"/>
      <w:lang w:eastAsia="de-DE"/>
    </w:rPr>
  </w:style>
  <w:style w:type="paragraph" w:styleId="Titel">
    <w:name w:val="Title"/>
    <w:basedOn w:val="Standard"/>
    <w:next w:val="Standard"/>
    <w:link w:val="TitelZchn"/>
    <w:semiHidden/>
    <w:qFormat/>
    <w:rsid w:val="0050281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Zchn">
    <w:name w:val="Titel Zchn"/>
    <w:link w:val="Titel"/>
    <w:semiHidden/>
    <w:rsid w:val="00502817"/>
    <w:rPr>
      <w:rFonts w:ascii="Cambria" w:eastAsia="Times New Roman" w:hAnsi="Cambria" w:cs="Times New Roman"/>
      <w:color w:val="17365D"/>
      <w:spacing w:val="5"/>
      <w:kern w:val="28"/>
      <w:sz w:val="52"/>
      <w:szCs w:val="52"/>
    </w:rPr>
  </w:style>
  <w:style w:type="paragraph" w:customStyle="1" w:styleId="Lauftextschwarz">
    <w:name w:val="Lauftext schwarz"/>
    <w:basedOn w:val="Standard"/>
    <w:qFormat/>
    <w:rsid w:val="000A0886"/>
    <w:pPr>
      <w:tabs>
        <w:tab w:val="clear" w:pos="851"/>
        <w:tab w:val="clear" w:pos="1985"/>
      </w:tabs>
      <w:spacing w:line="336" w:lineRule="auto"/>
      <w:jc w:val="both"/>
    </w:pPr>
    <w:rPr>
      <w:rFonts w:eastAsia="Cambria"/>
      <w:sz w:val="16"/>
      <w:lang w:eastAsia="en-US"/>
    </w:rPr>
  </w:style>
  <w:style w:type="paragraph" w:customStyle="1" w:styleId="LauftextImpressumrot">
    <w:name w:val="Lauftext Impressum rot"/>
    <w:basedOn w:val="Standard"/>
    <w:qFormat/>
    <w:rsid w:val="000A0886"/>
    <w:pPr>
      <w:tabs>
        <w:tab w:val="clear" w:pos="851"/>
        <w:tab w:val="clear" w:pos="1985"/>
      </w:tabs>
      <w:spacing w:line="336" w:lineRule="auto"/>
      <w:jc w:val="both"/>
    </w:pPr>
    <w:rPr>
      <w:rFonts w:eastAsia="Cambria"/>
      <w:color w:val="D33328"/>
      <w:sz w:val="16"/>
      <w:lang w:eastAsia="en-US"/>
    </w:rPr>
  </w:style>
  <w:style w:type="paragraph" w:customStyle="1" w:styleId="LauftextGrafikweiss">
    <w:name w:val="Lauftext Grafik weiss"/>
    <w:basedOn w:val="Standard"/>
    <w:qFormat/>
    <w:rsid w:val="000A0886"/>
    <w:pPr>
      <w:tabs>
        <w:tab w:val="clear" w:pos="851"/>
        <w:tab w:val="clear" w:pos="1985"/>
      </w:tabs>
      <w:spacing w:line="336" w:lineRule="auto"/>
      <w:jc w:val="both"/>
    </w:pPr>
    <w:rPr>
      <w:rFonts w:eastAsia="Cambria"/>
      <w:color w:val="FFFFFF"/>
      <w:sz w:val="14"/>
      <w:lang w:eastAsia="en-US"/>
    </w:rPr>
  </w:style>
  <w:style w:type="character" w:styleId="Kommentarzeichen">
    <w:name w:val="annotation reference"/>
    <w:semiHidden/>
    <w:unhideWhenUsed/>
    <w:rsid w:val="00FF4D1A"/>
    <w:rPr>
      <w:sz w:val="16"/>
      <w:szCs w:val="16"/>
    </w:rPr>
  </w:style>
  <w:style w:type="paragraph" w:styleId="Kommentartext">
    <w:name w:val="annotation text"/>
    <w:basedOn w:val="Standard"/>
    <w:link w:val="KommentartextZchn"/>
    <w:semiHidden/>
    <w:unhideWhenUsed/>
    <w:rsid w:val="00FF4D1A"/>
    <w:rPr>
      <w:szCs w:val="20"/>
    </w:rPr>
  </w:style>
  <w:style w:type="character" w:customStyle="1" w:styleId="KommentartextZchn">
    <w:name w:val="Kommentartext Zchn"/>
    <w:link w:val="Kommentartext"/>
    <w:semiHidden/>
    <w:rsid w:val="00FF4D1A"/>
    <w:rPr>
      <w:rFonts w:ascii="Arial" w:hAnsi="Arial"/>
    </w:rPr>
  </w:style>
  <w:style w:type="paragraph" w:styleId="Kommentarthema">
    <w:name w:val="annotation subject"/>
    <w:basedOn w:val="Kommentartext"/>
    <w:next w:val="Kommentartext"/>
    <w:link w:val="KommentarthemaZchn"/>
    <w:semiHidden/>
    <w:unhideWhenUsed/>
    <w:rsid w:val="00FF4D1A"/>
    <w:rPr>
      <w:b/>
      <w:bCs/>
    </w:rPr>
  </w:style>
  <w:style w:type="character" w:customStyle="1" w:styleId="KommentarthemaZchn">
    <w:name w:val="Kommentarthema Zchn"/>
    <w:link w:val="Kommentarthema"/>
    <w:semiHidden/>
    <w:rsid w:val="00FF4D1A"/>
    <w:rPr>
      <w:rFonts w:ascii="Arial" w:hAnsi="Arial"/>
      <w:b/>
      <w:bCs/>
    </w:rPr>
  </w:style>
  <w:style w:type="paragraph" w:customStyle="1" w:styleId="SwicoLeadgrau">
    <w:name w:val="Swico_Lead grau"/>
    <w:basedOn w:val="Standard"/>
    <w:qFormat/>
    <w:rsid w:val="00997D72"/>
    <w:pPr>
      <w:widowControl w:val="0"/>
      <w:tabs>
        <w:tab w:val="clear" w:pos="851"/>
        <w:tab w:val="clear" w:pos="1985"/>
      </w:tabs>
      <w:autoSpaceDE w:val="0"/>
      <w:autoSpaceDN w:val="0"/>
      <w:adjustRightInd w:val="0"/>
      <w:spacing w:line="336" w:lineRule="auto"/>
      <w:ind w:left="-1134" w:right="4"/>
      <w:jc w:val="both"/>
      <w:textAlignment w:val="center"/>
    </w:pPr>
    <w:rPr>
      <w:rFonts w:ascii="Arial Bold" w:eastAsiaTheme="minorHAnsi" w:hAnsi="Arial Bold" w:cs="HelveticaNeue-Bold"/>
      <w:bCs/>
      <w:color w:val="767878"/>
      <w:sz w:val="16"/>
      <w:szCs w:val="16"/>
      <w:lang w:eastAsia="en-US"/>
    </w:rPr>
  </w:style>
  <w:style w:type="paragraph" w:customStyle="1" w:styleId="SWICOLauftextschwarz">
    <w:name w:val="SWICO_Lauftext schwarz"/>
    <w:basedOn w:val="Lauftextschwarz"/>
    <w:qFormat/>
    <w:rsid w:val="00997D72"/>
    <w:rPr>
      <w:rFonts w:eastAsiaTheme="minorHAnsi" w:cstheme="minorBidi"/>
    </w:rPr>
  </w:style>
  <w:style w:type="paragraph" w:styleId="berarbeitung">
    <w:name w:val="Revision"/>
    <w:hidden/>
    <w:uiPriority w:val="99"/>
    <w:semiHidden/>
    <w:rsid w:val="00E701EA"/>
    <w:rPr>
      <w:rFonts w:ascii="Arial" w:hAnsi="Arial"/>
      <w:szCs w:val="24"/>
    </w:rPr>
  </w:style>
  <w:style w:type="paragraph" w:customStyle="1" w:styleId="Default">
    <w:name w:val="Default"/>
    <w:rsid w:val="00AA22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0596">
      <w:bodyDiv w:val="1"/>
      <w:marLeft w:val="0"/>
      <w:marRight w:val="0"/>
      <w:marTop w:val="0"/>
      <w:marBottom w:val="0"/>
      <w:divBdr>
        <w:top w:val="none" w:sz="0" w:space="0" w:color="auto"/>
        <w:left w:val="none" w:sz="0" w:space="0" w:color="auto"/>
        <w:bottom w:val="none" w:sz="0" w:space="0" w:color="auto"/>
        <w:right w:val="none" w:sz="0" w:space="0" w:color="auto"/>
      </w:divBdr>
    </w:div>
    <w:div w:id="450828272">
      <w:bodyDiv w:val="1"/>
      <w:marLeft w:val="0"/>
      <w:marRight w:val="0"/>
      <w:marTop w:val="0"/>
      <w:marBottom w:val="0"/>
      <w:divBdr>
        <w:top w:val="none" w:sz="0" w:space="0" w:color="auto"/>
        <w:left w:val="none" w:sz="0" w:space="0" w:color="auto"/>
        <w:bottom w:val="none" w:sz="0" w:space="0" w:color="auto"/>
        <w:right w:val="none" w:sz="0" w:space="0" w:color="auto"/>
      </w:divBdr>
      <w:divsChild>
        <w:div w:id="878593960">
          <w:marLeft w:val="0"/>
          <w:marRight w:val="0"/>
          <w:marTop w:val="0"/>
          <w:marBottom w:val="0"/>
          <w:divBdr>
            <w:top w:val="none" w:sz="0" w:space="0" w:color="auto"/>
            <w:left w:val="none" w:sz="0" w:space="0" w:color="auto"/>
            <w:bottom w:val="none" w:sz="0" w:space="0" w:color="auto"/>
            <w:right w:val="none" w:sz="0" w:space="0" w:color="auto"/>
          </w:divBdr>
          <w:divsChild>
            <w:div w:id="717124627">
              <w:marLeft w:val="0"/>
              <w:marRight w:val="0"/>
              <w:marTop w:val="0"/>
              <w:marBottom w:val="0"/>
              <w:divBdr>
                <w:top w:val="none" w:sz="0" w:space="0" w:color="auto"/>
                <w:left w:val="none" w:sz="0" w:space="0" w:color="auto"/>
                <w:bottom w:val="none" w:sz="0" w:space="0" w:color="auto"/>
                <w:right w:val="none" w:sz="0" w:space="0" w:color="auto"/>
              </w:divBdr>
              <w:divsChild>
                <w:div w:id="1944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274">
      <w:bodyDiv w:val="1"/>
      <w:marLeft w:val="0"/>
      <w:marRight w:val="0"/>
      <w:marTop w:val="0"/>
      <w:marBottom w:val="0"/>
      <w:divBdr>
        <w:top w:val="none" w:sz="0" w:space="0" w:color="auto"/>
        <w:left w:val="none" w:sz="0" w:space="0" w:color="auto"/>
        <w:bottom w:val="none" w:sz="0" w:space="0" w:color="auto"/>
        <w:right w:val="none" w:sz="0" w:space="0" w:color="auto"/>
      </w:divBdr>
      <w:divsChild>
        <w:div w:id="173692207">
          <w:marLeft w:val="0"/>
          <w:marRight w:val="0"/>
          <w:marTop w:val="0"/>
          <w:marBottom w:val="0"/>
          <w:divBdr>
            <w:top w:val="none" w:sz="0" w:space="0" w:color="auto"/>
            <w:left w:val="none" w:sz="0" w:space="0" w:color="auto"/>
            <w:bottom w:val="none" w:sz="0" w:space="0" w:color="auto"/>
            <w:right w:val="none" w:sz="0" w:space="0" w:color="auto"/>
          </w:divBdr>
          <w:divsChild>
            <w:div w:id="1318725675">
              <w:marLeft w:val="0"/>
              <w:marRight w:val="0"/>
              <w:marTop w:val="0"/>
              <w:marBottom w:val="0"/>
              <w:divBdr>
                <w:top w:val="none" w:sz="0" w:space="0" w:color="auto"/>
                <w:left w:val="none" w:sz="0" w:space="0" w:color="auto"/>
                <w:bottom w:val="none" w:sz="0" w:space="0" w:color="auto"/>
                <w:right w:val="none" w:sz="0" w:space="0" w:color="auto"/>
              </w:divBdr>
              <w:divsChild>
                <w:div w:id="12808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7641">
      <w:bodyDiv w:val="1"/>
      <w:marLeft w:val="0"/>
      <w:marRight w:val="0"/>
      <w:marTop w:val="0"/>
      <w:marBottom w:val="0"/>
      <w:divBdr>
        <w:top w:val="none" w:sz="0" w:space="0" w:color="auto"/>
        <w:left w:val="none" w:sz="0" w:space="0" w:color="auto"/>
        <w:bottom w:val="none" w:sz="0" w:space="0" w:color="auto"/>
        <w:right w:val="none" w:sz="0" w:space="0" w:color="auto"/>
      </w:divBdr>
    </w:div>
    <w:div w:id="547684600">
      <w:bodyDiv w:val="1"/>
      <w:marLeft w:val="0"/>
      <w:marRight w:val="0"/>
      <w:marTop w:val="0"/>
      <w:marBottom w:val="0"/>
      <w:divBdr>
        <w:top w:val="none" w:sz="0" w:space="0" w:color="auto"/>
        <w:left w:val="none" w:sz="0" w:space="0" w:color="auto"/>
        <w:bottom w:val="none" w:sz="0" w:space="0" w:color="auto"/>
        <w:right w:val="none" w:sz="0" w:space="0" w:color="auto"/>
      </w:divBdr>
    </w:div>
    <w:div w:id="1137408614">
      <w:bodyDiv w:val="1"/>
      <w:marLeft w:val="0"/>
      <w:marRight w:val="0"/>
      <w:marTop w:val="0"/>
      <w:marBottom w:val="0"/>
      <w:divBdr>
        <w:top w:val="none" w:sz="0" w:space="0" w:color="auto"/>
        <w:left w:val="none" w:sz="0" w:space="0" w:color="auto"/>
        <w:bottom w:val="none" w:sz="0" w:space="0" w:color="auto"/>
        <w:right w:val="none" w:sz="0" w:space="0" w:color="auto"/>
      </w:divBdr>
    </w:div>
    <w:div w:id="1182937047">
      <w:bodyDiv w:val="1"/>
      <w:marLeft w:val="0"/>
      <w:marRight w:val="0"/>
      <w:marTop w:val="0"/>
      <w:marBottom w:val="0"/>
      <w:divBdr>
        <w:top w:val="none" w:sz="0" w:space="0" w:color="auto"/>
        <w:left w:val="none" w:sz="0" w:space="0" w:color="auto"/>
        <w:bottom w:val="none" w:sz="0" w:space="0" w:color="auto"/>
        <w:right w:val="none" w:sz="0" w:space="0" w:color="auto"/>
      </w:divBdr>
    </w:div>
    <w:div w:id="1595356024">
      <w:bodyDiv w:val="1"/>
      <w:marLeft w:val="0"/>
      <w:marRight w:val="0"/>
      <w:marTop w:val="0"/>
      <w:marBottom w:val="0"/>
      <w:divBdr>
        <w:top w:val="none" w:sz="0" w:space="0" w:color="auto"/>
        <w:left w:val="none" w:sz="0" w:space="0" w:color="auto"/>
        <w:bottom w:val="none" w:sz="0" w:space="0" w:color="auto"/>
        <w:right w:val="none" w:sz="0" w:space="0" w:color="auto"/>
      </w:divBdr>
    </w:div>
    <w:div w:id="1664777797">
      <w:bodyDiv w:val="1"/>
      <w:marLeft w:val="0"/>
      <w:marRight w:val="0"/>
      <w:marTop w:val="0"/>
      <w:marBottom w:val="0"/>
      <w:divBdr>
        <w:top w:val="none" w:sz="0" w:space="0" w:color="auto"/>
        <w:left w:val="none" w:sz="0" w:space="0" w:color="auto"/>
        <w:bottom w:val="none" w:sz="0" w:space="0" w:color="auto"/>
        <w:right w:val="none" w:sz="0" w:space="0" w:color="auto"/>
      </w:divBdr>
    </w:div>
    <w:div w:id="1687095474">
      <w:bodyDiv w:val="1"/>
      <w:marLeft w:val="0"/>
      <w:marRight w:val="0"/>
      <w:marTop w:val="0"/>
      <w:marBottom w:val="0"/>
      <w:divBdr>
        <w:top w:val="none" w:sz="0" w:space="0" w:color="auto"/>
        <w:left w:val="none" w:sz="0" w:space="0" w:color="auto"/>
        <w:bottom w:val="none" w:sz="0" w:space="0" w:color="auto"/>
        <w:right w:val="none" w:sz="0" w:space="0" w:color="auto"/>
      </w:divBdr>
      <w:divsChild>
        <w:div w:id="539707640">
          <w:marLeft w:val="0"/>
          <w:marRight w:val="0"/>
          <w:marTop w:val="0"/>
          <w:marBottom w:val="0"/>
          <w:divBdr>
            <w:top w:val="none" w:sz="0" w:space="0" w:color="auto"/>
            <w:left w:val="none" w:sz="0" w:space="0" w:color="auto"/>
            <w:bottom w:val="none" w:sz="0" w:space="0" w:color="auto"/>
            <w:right w:val="none" w:sz="0" w:space="0" w:color="auto"/>
          </w:divBdr>
          <w:divsChild>
            <w:div w:id="1728601028">
              <w:marLeft w:val="0"/>
              <w:marRight w:val="0"/>
              <w:marTop w:val="0"/>
              <w:marBottom w:val="0"/>
              <w:divBdr>
                <w:top w:val="none" w:sz="0" w:space="0" w:color="auto"/>
                <w:left w:val="none" w:sz="0" w:space="0" w:color="auto"/>
                <w:bottom w:val="none" w:sz="0" w:space="0" w:color="auto"/>
                <w:right w:val="none" w:sz="0" w:space="0" w:color="auto"/>
              </w:divBdr>
              <w:divsChild>
                <w:div w:id="7444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vollmer@swico.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D9CB7-5004-1440-AA55-1C196E1D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2020-01-15T10:10:00Z</dcterms:created>
  <dcterms:modified xsi:type="dcterms:W3CDTF">2020-01-15T10:10:00Z</dcterms:modified>
</cp:coreProperties>
</file>